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C29" w:rsidRDefault="00AD4C29">
      <w:pPr>
        <w:pStyle w:val="ConsPlusNormal"/>
        <w:outlineLvl w:val="0"/>
      </w:pPr>
    </w:p>
    <w:p w:rsidR="00AD4C29" w:rsidRDefault="00AD4C29">
      <w:pPr>
        <w:pStyle w:val="ConsPlusNormal"/>
        <w:outlineLvl w:val="0"/>
      </w:pPr>
    </w:p>
    <w:p w:rsidR="00AD4C29" w:rsidRPr="00AD4C29" w:rsidRDefault="00AD4C2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ПРИКАЗ</w:t>
      </w: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от 31 декабря 2019 г. N 439</w:t>
      </w: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О ВНЕСЕНИИ ИЗМЕНЕНИЙ</w:t>
      </w: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В ПРАВИЛА ОРГАНИЗАЦИИ И ВЕДЕНИЯ БЮДЖЕТНОГО</w:t>
      </w: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УЧЕТА ПО ОСУЩЕСТВЛЕНИЮ ФУНКЦИЙ ГЛАВНОГО РАСПОРЯДИТЕЛЯ</w:t>
      </w: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СРЕДСТВ ФЕДЕРАЛЬНОГО БЮДЖЕТА, ГЛАВНОГО АДМИНИСТРАТОРА</w:t>
      </w: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И АДМИНИСТРАТОРА ДОХОДОВ ФЕДЕРАЛЬНОГО БЮДЖЕТА, ГЛАВНОГО</w:t>
      </w: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АДМИНИСТРАТОРА И АДМИНИСТРАТОРА ИСТОЧНИКОВ ФИНАНСИРОВАНИЯ</w:t>
      </w: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ДЕФИЦИТА ФЕДЕРАЛЬНОГО БЮДЖЕТА В ФЕДЕРАЛЬНОМ КАЗНАЧЕЙСТВЕ,</w:t>
      </w: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УТВЕРЖДЕННЫЕ ПРИКАЗОМ ФЕДЕРАЛЬНОГО КАЗНАЧЕЙСТВА</w:t>
      </w: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ОТ 17 ДЕКАБРЯ 2018 Г. N 417</w:t>
      </w:r>
    </w:p>
    <w:p w:rsidR="00AD4C29" w:rsidRPr="00AD4C29" w:rsidRDefault="00AD4C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D4C29" w:rsidRPr="00AD4C29" w:rsidRDefault="00AD4C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В связи со служебной необходимостью приказываю: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Внести в Правила организации и ведения бюджетного учета по осуществлению функций главного распорядителя средств федерального бюджета, главного администратора и администратора доходов федерального бюджета, главного администратора и администратора источников финансирования дефицита федерального бюджета в Федеральном казначействе, утвержденные приказом Федерального казначейства от 17 декабря 2018 г. N 417 (в редакции приказов Федерального казначейства от 18 февраля 2019 г. N 43, от 16 мая 2019 г. N 118, от 10 октября 2019 г. N 282, от 31 декабря 2019 г. N 432) (далее - Правила), следующие изменения: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1. </w:t>
      </w:r>
      <w:hyperlink r:id="rId4" w:history="1">
        <w:r w:rsidRPr="00AD4C29">
          <w:rPr>
            <w:rFonts w:ascii="Times New Roman" w:hAnsi="Times New Roman" w:cs="Times New Roman"/>
            <w:color w:val="0000FF"/>
            <w:sz w:val="24"/>
            <w:szCs w:val="24"/>
          </w:rPr>
          <w:t>Абзац седьмой пункта 4.4</w:t>
        </w:r>
      </w:hyperlink>
      <w:r w:rsidRPr="00AD4C29">
        <w:rPr>
          <w:rFonts w:ascii="Times New Roman" w:hAnsi="Times New Roman" w:cs="Times New Roman"/>
          <w:sz w:val="24"/>
          <w:szCs w:val="24"/>
        </w:rPr>
        <w:t xml:space="preserve"> Правил изложить в редакции: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"Начисление доходов при размещении средств на банковских депозитах с плавающей процентной ставкой осуществляется на основании Итогового расчета процентов по договорам банковского депозита, заключенным Федеральным казначейством с кредитными организациями по плавающей процентной ставке к сводному реестру договоров банковского депозита, заключенных с кредитной организацией, по форме согласно приложению N 15 к Порядку работы в Федеральном казначействе при размещении средств федерального бюджета на банковских депозитах, утвержденному приказом Федерального казначейства от 10 октября 2019 г. N 294.".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2. </w:t>
      </w:r>
      <w:hyperlink r:id="rId5" w:history="1">
        <w:r w:rsidRPr="00AD4C29">
          <w:rPr>
            <w:rFonts w:ascii="Times New Roman" w:hAnsi="Times New Roman" w:cs="Times New Roman"/>
            <w:color w:val="0000FF"/>
            <w:sz w:val="24"/>
            <w:szCs w:val="24"/>
          </w:rPr>
          <w:t>Пункт 4.5</w:t>
        </w:r>
      </w:hyperlink>
      <w:r w:rsidRPr="00AD4C29">
        <w:rPr>
          <w:rFonts w:ascii="Times New Roman" w:hAnsi="Times New Roman" w:cs="Times New Roman"/>
          <w:sz w:val="24"/>
          <w:szCs w:val="24"/>
        </w:rPr>
        <w:t xml:space="preserve"> Правил изложить в следующей редакции: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"4.5. Учет операций с источниками финансирования дефицита федерального бюджета.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Учет осуществляется на основании следующих документов, предоставленных Межрегиональным операционным управлением Федерального казначейства: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- Выписок из лицевого счета главного администратора источников финансирования дефицита бюджета (администратора источников финансирования дефицита бюджета с полномочиями главного администратора) </w:t>
      </w:r>
      <w:hyperlink r:id="rId6" w:history="1">
        <w:r w:rsidRPr="00AD4C29">
          <w:rPr>
            <w:rFonts w:ascii="Times New Roman" w:hAnsi="Times New Roman" w:cs="Times New Roman"/>
            <w:color w:val="0000FF"/>
            <w:sz w:val="24"/>
            <w:szCs w:val="24"/>
          </w:rPr>
          <w:t>(ф. 0531763)</w:t>
        </w:r>
      </w:hyperlink>
      <w:r w:rsidRPr="00AD4C29">
        <w:rPr>
          <w:rFonts w:ascii="Times New Roman" w:hAnsi="Times New Roman" w:cs="Times New Roman"/>
          <w:sz w:val="24"/>
          <w:szCs w:val="24"/>
        </w:rPr>
        <w:t xml:space="preserve"> с приложением расчетных документов;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lastRenderedPageBreak/>
        <w:t xml:space="preserve">- Выписок из лицевого счета администратора источников финансирования дефицита бюджета </w:t>
      </w:r>
      <w:hyperlink r:id="rId7" w:history="1">
        <w:r w:rsidRPr="00AD4C29">
          <w:rPr>
            <w:rFonts w:ascii="Times New Roman" w:hAnsi="Times New Roman" w:cs="Times New Roman"/>
            <w:color w:val="0000FF"/>
            <w:sz w:val="24"/>
            <w:szCs w:val="24"/>
          </w:rPr>
          <w:t>(ф. 0531764)</w:t>
        </w:r>
      </w:hyperlink>
      <w:r w:rsidRPr="00AD4C29">
        <w:rPr>
          <w:rFonts w:ascii="Times New Roman" w:hAnsi="Times New Roman" w:cs="Times New Roman"/>
          <w:sz w:val="24"/>
          <w:szCs w:val="24"/>
        </w:rPr>
        <w:t xml:space="preserve"> с приложением расчетных документов.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Аналитический учет средств федерального бюджета и средств Фонда национального благосостояния, перечисленных для размещения на депозитных счетах в кредитных организациях, а также их возврат ведется в Карточке учета средств и расчетов </w:t>
      </w:r>
      <w:hyperlink r:id="rId8" w:history="1">
        <w:r w:rsidRPr="00AD4C29">
          <w:rPr>
            <w:rFonts w:ascii="Times New Roman" w:hAnsi="Times New Roman" w:cs="Times New Roman"/>
            <w:color w:val="0000FF"/>
            <w:sz w:val="24"/>
            <w:szCs w:val="24"/>
          </w:rPr>
          <w:t>(ф. 0504051)</w:t>
        </w:r>
      </w:hyperlink>
      <w:r w:rsidRPr="00AD4C29">
        <w:rPr>
          <w:rFonts w:ascii="Times New Roman" w:hAnsi="Times New Roman" w:cs="Times New Roman"/>
          <w:sz w:val="24"/>
          <w:szCs w:val="24"/>
        </w:rPr>
        <w:t xml:space="preserve"> в разрезе депозитных счетов.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Учет операций по договорам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 xml:space="preserve"> осуществляется на основании: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- Реестров исполненных первых частей договоров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 xml:space="preserve">, заключенных Федеральным казначейством, представленных Межрегиональным операционным управлением Федерального казначейства, по форме согласно приложению N 9 к Порядку работы в Федеральном казначействе при осуществлении операций покупки (продажи) ценных бумаг по договорам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>, утвержденному приказом Федерального казначейства от 10 октября 2019 г. N 298 (далее - Порядок, утвержденный приказом Федерального казначейства от 10 октября 2019 г. N 298);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AD4C29">
        <w:rPr>
          <w:rFonts w:ascii="Times New Roman" w:hAnsi="Times New Roman" w:cs="Times New Roman"/>
          <w:sz w:val="24"/>
          <w:szCs w:val="24"/>
        </w:rPr>
        <w:t>Реестров</w:t>
      </w:r>
      <w:proofErr w:type="gramEnd"/>
      <w:r w:rsidRPr="00AD4C29">
        <w:rPr>
          <w:rFonts w:ascii="Times New Roman" w:hAnsi="Times New Roman" w:cs="Times New Roman"/>
          <w:sz w:val="24"/>
          <w:szCs w:val="24"/>
        </w:rPr>
        <w:t xml:space="preserve"> исполненных вторых частей договоров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>, заключенных Федеральным казначейством, представленных Межрегиональным операционным управлением Федерального казначейства, по форме согласно приложению N 10 к Порядку, утвержденному приказом Федерального казначейства от 10 октября 2019 г. N 298;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- Реестров неисполненных первых частей договоров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>, заключенных Федеральным казначейством, представленных Межрегиональным операционным управлением Федерального казначейства, по форме согласно приложению N 12 к Порядку, утвержденному приказом Федерального казначейства от 10 октября 2019 г. N 298;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- Реестров неисполненных вторых частей договоров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>, заключенных Федеральным казначейством, представленных Межрегиональным операционным управлением Федерального казначейства, по форме согласно приложению N 13 к Порядку, утвержденному приказом Федерального казначейства от 10 октября 2019 г. N 298;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- Расчета неустойки (штрафа, пени) в случае нарушения кредитной организацией исполнения первой части договора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 xml:space="preserve">, представленного Межрегиональным операционным управлением Федерального казначейства, по форме согласно приложению N 1 к Плану мероприятий Федерального казначейства в случае нарушения кредитной организацией условий исполнения генерального соглашения о покупке (продаже) ценных бумаг по договорам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 xml:space="preserve"> и договора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>, утвержденному приказом Федерального казначейства от 10 октября 2019 г. N 297 (далее - План мероприятий, утвержденный приказом Федерального казначейства от 10 октября 2019 г. N 297);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- Расчета неустойки (штрафа, пени) в случае нарушения кредитной организацией исполнения второй части договора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>, представленного Межрегиональным операционным управлением Федерального казначейства, по форме согласно приложению N 2 к Плану мероприятий, утвержденному приказом Федерального казначейства от 10 октября 2019 г. N 297);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- Расчета нетто-требований (обязательств) по договорам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 xml:space="preserve"> в связи с отзывом лицензии, представленного Межрегиональным операционным управлением Федерального казначейства, по форме согласно приложению N 1 к Плану мероприятий Федерального казначейства в случае отзыва у кредитной организации лицензии Банка России, утвержденному приказом Федерального казначейства 10 октября 2019 г. N 302;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lastRenderedPageBreak/>
        <w:t>- Отчетов Небанковской кредитной организации АО "Национальный расчетный депозитарий" (далее - НКО АО НРД). Отчет о регистрации, изменении и прекращении обязательств по сделке (код формы НКО АО НРД MS018), представляемый НКО АО НРД, хранится в электронном виде.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Учет ценных бумаг ведется на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забалансовом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 xml:space="preserve"> счете 33 "Ценные бумаги по договорам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 xml:space="preserve">" в Реестре учета ценных бумаг согласно </w:t>
      </w:r>
      <w:proofErr w:type="gramStart"/>
      <w:r w:rsidRPr="00AD4C29">
        <w:rPr>
          <w:rFonts w:ascii="Times New Roman" w:hAnsi="Times New Roman" w:cs="Times New Roman"/>
          <w:sz w:val="24"/>
          <w:szCs w:val="24"/>
        </w:rPr>
        <w:t>приложению</w:t>
      </w:r>
      <w:proofErr w:type="gramEnd"/>
      <w:r w:rsidRPr="00AD4C29">
        <w:rPr>
          <w:rFonts w:ascii="Times New Roman" w:hAnsi="Times New Roman" w:cs="Times New Roman"/>
          <w:sz w:val="24"/>
          <w:szCs w:val="24"/>
        </w:rPr>
        <w:t xml:space="preserve"> N 7 к настоящим Правилам (далее - Реестр учета ценных бумаг). Учет ценных бумаг осуществляется по расчетной цене.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Учет изменения стоимости и количества ценных бумаг, полученных в обеспечение обязательств по договорам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 xml:space="preserve">, осуществляется на основании Реестра договоров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>, заключенных Федеральным казначейством, с измененным составом ценных бумаг, представленного Межрегиональным операционным управлением Федерального казначейства, по форме согласно приложению N 11 к Порядку, утвержденному приказом Федерального казначейства от 10 октября 2019 г. N 298.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Изменение стоимости и количества ценных бумаг, полученных в обеспечение обязательств по договорам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>, отражается в Реестре учета ценных бумаг путем соответствующего списания ценных бумаг (по каждому выпуску ценных бумаг) с одновременным отражением вновь поступивших ценных бумаг (по каждому выпуску ценных бумаг) без изменения суммы обязательства, в обеспечении которого получены указанные ценные бумаги.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Учет операций по договорам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 xml:space="preserve"> осуществляется Федеральным казначейством в соответствии с Порядком отражения в бюджетном учете операций по покупке (продаже) ценных бумаг по договорам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 xml:space="preserve"> согласно </w:t>
      </w:r>
      <w:proofErr w:type="gramStart"/>
      <w:r w:rsidRPr="00AD4C29">
        <w:rPr>
          <w:rFonts w:ascii="Times New Roman" w:hAnsi="Times New Roman" w:cs="Times New Roman"/>
          <w:sz w:val="24"/>
          <w:szCs w:val="24"/>
        </w:rPr>
        <w:t>приложению</w:t>
      </w:r>
      <w:proofErr w:type="gramEnd"/>
      <w:r w:rsidRPr="00AD4C29">
        <w:rPr>
          <w:rFonts w:ascii="Times New Roman" w:hAnsi="Times New Roman" w:cs="Times New Roman"/>
          <w:sz w:val="24"/>
          <w:szCs w:val="24"/>
        </w:rPr>
        <w:t xml:space="preserve"> N 8 к настоящим Правилам.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Учет выплат купонного дохода по ценным бумагам, находящимся на счете депо Федерального казначейства, осуществляется на основании Расчета выплат (купонного дохода) по ценным бумагам, переданным Федеральному казначейству по договорам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>, представленного Межрегиональным операционным управлением Федерального казначейства, по форме согласно приложению N 20 к Порядку, утвержденному приказом Федерального казначейства от 10 октября 2019 г. N 298.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Учет операций покупки (продажи) иностранной валюты по сделкам валютный своп осуществляется на основании: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- Реестров исполненных первых частей сделок с иностранной валютой по форме согласно приложению N 9 к настоящим Правилам;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AD4C29">
        <w:rPr>
          <w:rFonts w:ascii="Times New Roman" w:hAnsi="Times New Roman" w:cs="Times New Roman"/>
          <w:sz w:val="24"/>
          <w:szCs w:val="24"/>
        </w:rPr>
        <w:t>Реестров</w:t>
      </w:r>
      <w:proofErr w:type="gramEnd"/>
      <w:r w:rsidRPr="00AD4C29">
        <w:rPr>
          <w:rFonts w:ascii="Times New Roman" w:hAnsi="Times New Roman" w:cs="Times New Roman"/>
          <w:sz w:val="24"/>
          <w:szCs w:val="24"/>
        </w:rPr>
        <w:t xml:space="preserve"> исполненных вторых частей сделок с иностранной валютой по форме согласно приложению N 10 к настоящим Правилам.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Учет операций покупки (продажи) иностранной валюты по сделкам валютный своп осуществляется Федеральным казначейством в соответствии с Порядком отражения в бюджетном учете Федерального казначейства операций покупки (продажи) иностранной валюты по сделкам валютный своп согласно </w:t>
      </w:r>
      <w:proofErr w:type="gramStart"/>
      <w:r w:rsidRPr="00AD4C29">
        <w:rPr>
          <w:rFonts w:ascii="Times New Roman" w:hAnsi="Times New Roman" w:cs="Times New Roman"/>
          <w:sz w:val="24"/>
          <w:szCs w:val="24"/>
        </w:rPr>
        <w:t>приложениям</w:t>
      </w:r>
      <w:proofErr w:type="gramEnd"/>
      <w:r w:rsidRPr="00AD4C29">
        <w:rPr>
          <w:rFonts w:ascii="Times New Roman" w:hAnsi="Times New Roman" w:cs="Times New Roman"/>
          <w:sz w:val="24"/>
          <w:szCs w:val="24"/>
        </w:rPr>
        <w:t xml:space="preserve"> N 11 и N 12 к настоящим Правилам.".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3. </w:t>
      </w:r>
      <w:hyperlink r:id="rId9" w:history="1">
        <w:r w:rsidRPr="00AD4C29">
          <w:rPr>
            <w:rFonts w:ascii="Times New Roman" w:hAnsi="Times New Roman" w:cs="Times New Roman"/>
            <w:color w:val="0000FF"/>
            <w:sz w:val="24"/>
            <w:szCs w:val="24"/>
          </w:rPr>
          <w:t>Пункт 7.1</w:t>
        </w:r>
      </w:hyperlink>
      <w:r w:rsidRPr="00AD4C29">
        <w:rPr>
          <w:rFonts w:ascii="Times New Roman" w:hAnsi="Times New Roman" w:cs="Times New Roman"/>
          <w:sz w:val="24"/>
          <w:szCs w:val="24"/>
        </w:rPr>
        <w:t xml:space="preserve"> Правил изложить в редакции: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"7.1. Представление бюджетной (финансовой), налоговой, статистической и иной отчетности центрального аппарата Федерального казначейства осуществляется в порядке и сроки, установленные законодательством Российской Федерации.".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lastRenderedPageBreak/>
        <w:t>4. В приложение N 1 к Правилам внести следующие изменения: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4.1. текст </w:t>
      </w:r>
      <w:hyperlink r:id="rId10" w:history="1">
        <w:r w:rsidRPr="00AD4C29">
          <w:rPr>
            <w:rFonts w:ascii="Times New Roman" w:hAnsi="Times New Roman" w:cs="Times New Roman"/>
            <w:color w:val="0000FF"/>
            <w:sz w:val="24"/>
            <w:szCs w:val="24"/>
          </w:rPr>
          <w:t>графы 4</w:t>
        </w:r>
      </w:hyperlink>
      <w:r w:rsidRPr="00AD4C29">
        <w:rPr>
          <w:rFonts w:ascii="Times New Roman" w:hAnsi="Times New Roman" w:cs="Times New Roman"/>
          <w:sz w:val="24"/>
          <w:szCs w:val="24"/>
        </w:rPr>
        <w:t xml:space="preserve"> пункта 2.8 изложить в редакции: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"Ответственный сотрудник </w:t>
      </w:r>
      <w:proofErr w:type="spellStart"/>
      <w:r w:rsidRPr="00AD4C29">
        <w:rPr>
          <w:rFonts w:ascii="Times New Roman" w:hAnsi="Times New Roman" w:cs="Times New Roman"/>
          <w:sz w:val="24"/>
          <w:szCs w:val="24"/>
        </w:rPr>
        <w:t>ОФОиБУ</w:t>
      </w:r>
      <w:proofErr w:type="spellEnd"/>
      <w:r w:rsidRPr="00AD4C29">
        <w:rPr>
          <w:rFonts w:ascii="Times New Roman" w:hAnsi="Times New Roman" w:cs="Times New Roman"/>
          <w:sz w:val="24"/>
          <w:szCs w:val="24"/>
        </w:rPr>
        <w:t>";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4.2. текст графы 4 </w:t>
      </w:r>
      <w:hyperlink r:id="rId11" w:history="1">
        <w:r w:rsidRPr="00AD4C29">
          <w:rPr>
            <w:rFonts w:ascii="Times New Roman" w:hAnsi="Times New Roman" w:cs="Times New Roman"/>
            <w:color w:val="0000FF"/>
            <w:sz w:val="24"/>
            <w:szCs w:val="24"/>
          </w:rPr>
          <w:t>пунктов 3.59</w:t>
        </w:r>
      </w:hyperlink>
      <w:r w:rsidRPr="00AD4C29">
        <w:rPr>
          <w:rFonts w:ascii="Times New Roman" w:hAnsi="Times New Roman" w:cs="Times New Roman"/>
          <w:sz w:val="24"/>
          <w:szCs w:val="24"/>
        </w:rPr>
        <w:t xml:space="preserve"> - </w:t>
      </w:r>
      <w:hyperlink r:id="rId12" w:history="1">
        <w:r w:rsidRPr="00AD4C29">
          <w:rPr>
            <w:rFonts w:ascii="Times New Roman" w:hAnsi="Times New Roman" w:cs="Times New Roman"/>
            <w:color w:val="0000FF"/>
            <w:sz w:val="24"/>
            <w:szCs w:val="24"/>
          </w:rPr>
          <w:t>3.79</w:t>
        </w:r>
      </w:hyperlink>
      <w:r w:rsidRPr="00AD4C29">
        <w:rPr>
          <w:rFonts w:ascii="Times New Roman" w:hAnsi="Times New Roman" w:cs="Times New Roman"/>
          <w:sz w:val="24"/>
          <w:szCs w:val="24"/>
        </w:rPr>
        <w:t xml:space="preserve"> изложить в редакции: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"Межрегиональное операционное управление Федерального казначейства".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5. </w:t>
      </w:r>
      <w:hyperlink r:id="rId13" w:history="1">
        <w:r w:rsidRPr="00AD4C29">
          <w:rPr>
            <w:rFonts w:ascii="Times New Roman" w:hAnsi="Times New Roman" w:cs="Times New Roman"/>
            <w:color w:val="0000FF"/>
            <w:sz w:val="24"/>
            <w:szCs w:val="24"/>
          </w:rPr>
          <w:t>Приложение N 3</w:t>
        </w:r>
      </w:hyperlink>
      <w:r w:rsidRPr="00AD4C29">
        <w:rPr>
          <w:rFonts w:ascii="Times New Roman" w:hAnsi="Times New Roman" w:cs="Times New Roman"/>
          <w:sz w:val="24"/>
          <w:szCs w:val="24"/>
        </w:rPr>
        <w:t xml:space="preserve"> к Правилам изложить в редакции согласно </w:t>
      </w:r>
      <w:hyperlink w:anchor="P91" w:history="1">
        <w:r w:rsidRPr="00AD4C29">
          <w:rPr>
            <w:rFonts w:ascii="Times New Roman" w:hAnsi="Times New Roman" w:cs="Times New Roman"/>
            <w:color w:val="0000FF"/>
            <w:sz w:val="24"/>
            <w:szCs w:val="24"/>
          </w:rPr>
          <w:t>приложению</w:t>
        </w:r>
      </w:hyperlink>
      <w:r w:rsidRPr="00AD4C29">
        <w:rPr>
          <w:rFonts w:ascii="Times New Roman" w:hAnsi="Times New Roman" w:cs="Times New Roman"/>
          <w:sz w:val="24"/>
          <w:szCs w:val="24"/>
        </w:rPr>
        <w:t xml:space="preserve"> к настоящему приказу.</w:t>
      </w:r>
    </w:p>
    <w:p w:rsidR="00AD4C29" w:rsidRPr="00AD4C29" w:rsidRDefault="00AD4C2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 xml:space="preserve">6. В приложении N 8 к Правилам </w:t>
      </w:r>
      <w:hyperlink r:id="rId14" w:history="1">
        <w:r w:rsidRPr="00AD4C29">
          <w:rPr>
            <w:rFonts w:ascii="Times New Roman" w:hAnsi="Times New Roman" w:cs="Times New Roman"/>
            <w:color w:val="0000FF"/>
            <w:sz w:val="24"/>
            <w:szCs w:val="24"/>
          </w:rPr>
          <w:t>пункт 1.5</w:t>
        </w:r>
      </w:hyperlink>
      <w:r w:rsidRPr="00AD4C29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AD4C29" w:rsidRPr="00AD4C29" w:rsidRDefault="00AD4C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4C29" w:rsidRPr="00AD4C29" w:rsidRDefault="00AD4C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"</w:t>
      </w:r>
    </w:p>
    <w:p w:rsidR="00AD4C29" w:rsidRPr="00AD4C29" w:rsidRDefault="00AD4C29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324"/>
        <w:gridCol w:w="1644"/>
        <w:gridCol w:w="4592"/>
      </w:tblGrid>
      <w:tr w:rsidR="00AD4C29" w:rsidRPr="00AD4C29"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D4C29" w:rsidRPr="00AD4C29" w:rsidRDefault="00AD4C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AD4C29" w:rsidRPr="00AD4C29" w:rsidRDefault="00AD4C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 xml:space="preserve">Начисление процентов по договору </w:t>
            </w:r>
            <w:proofErr w:type="spellStart"/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репо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AD4C29" w:rsidRPr="00AD4C29" w:rsidRDefault="00AD4C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 xml:space="preserve">Договора </w:t>
            </w:r>
            <w:proofErr w:type="spellStart"/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репо</w:t>
            </w:r>
            <w:proofErr w:type="spellEnd"/>
          </w:p>
        </w:tc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AD4C29" w:rsidRPr="00AD4C29" w:rsidRDefault="00AD4C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Дебет 1 11 02012 01 0200 120 120526 565</w:t>
            </w:r>
          </w:p>
          <w:p w:rsidR="00AD4C29" w:rsidRPr="00AD4C29" w:rsidRDefault="00AD4C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Увеличение дебиторской задолженности по доходам от собственности</w:t>
            </w:r>
          </w:p>
          <w:p w:rsidR="00AD4C29" w:rsidRPr="00AD4C29" w:rsidRDefault="00AD4C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Кредит 1 11 02012 01 020</w:t>
            </w:r>
            <w:bookmarkStart w:id="0" w:name="_GoBack"/>
            <w:bookmarkEnd w:id="0"/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0 120 140110 129 Доходы от собственности</w:t>
            </w:r>
          </w:p>
        </w:tc>
      </w:tr>
    </w:tbl>
    <w:p w:rsidR="00AD4C29" w:rsidRPr="00AD4C29" w:rsidRDefault="00AD4C29">
      <w:pPr>
        <w:pStyle w:val="ConsPlusNormal"/>
        <w:spacing w:before="220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".</w:t>
      </w:r>
    </w:p>
    <w:p w:rsidR="00AD4C29" w:rsidRPr="00AD4C29" w:rsidRDefault="00AD4C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Р.Е.АРТЮХИН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D4C29" w:rsidRPr="00AD4C29" w:rsidRDefault="00AD4C2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Приложение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к приказу Федерального казначейства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от 31 декабря 2019 г. N 439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к Правилам организации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и ведения бюджетного учета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по осуществлению функций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главного распорядителя средств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федерального бюджета,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главного администратора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и администратора доходов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федерального бюджета,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главного администратора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и администратора источников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финансирования дефицита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федерального бюджета</w:t>
      </w:r>
    </w:p>
    <w:p w:rsidR="00AD4C29" w:rsidRPr="00AD4C29" w:rsidRDefault="00AD4C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в Федеральном казначействе</w:t>
      </w:r>
    </w:p>
    <w:p w:rsidR="00AD4C29" w:rsidRPr="00AD4C29" w:rsidRDefault="00AD4C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91"/>
      <w:bookmarkEnd w:id="1"/>
      <w:r w:rsidRPr="00AD4C29">
        <w:rPr>
          <w:rFonts w:ascii="Times New Roman" w:hAnsi="Times New Roman" w:cs="Times New Roman"/>
          <w:sz w:val="24"/>
          <w:szCs w:val="24"/>
        </w:rPr>
        <w:t>ПЕРЕЧЕНЬ</w:t>
      </w:r>
    </w:p>
    <w:p w:rsidR="00AD4C29" w:rsidRPr="00AD4C29" w:rsidRDefault="00AD4C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D4C29">
        <w:rPr>
          <w:rFonts w:ascii="Times New Roman" w:hAnsi="Times New Roman" w:cs="Times New Roman"/>
          <w:sz w:val="24"/>
          <w:szCs w:val="24"/>
        </w:rPr>
        <w:t>РЕГИСТРОВ БЮДЖЕТНОГО УЧЕТА</w:t>
      </w:r>
    </w:p>
    <w:p w:rsidR="00AD4C29" w:rsidRPr="00AD4C29" w:rsidRDefault="00AD4C2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AD4C29" w:rsidRPr="00AD4C29">
        <w:tc>
          <w:tcPr>
            <w:tcW w:w="1757" w:type="dxa"/>
            <w:vAlign w:val="center"/>
          </w:tcPr>
          <w:p w:rsidR="00AD4C29" w:rsidRPr="00AD4C29" w:rsidRDefault="00AD4C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Номер регистра</w:t>
            </w:r>
          </w:p>
        </w:tc>
        <w:tc>
          <w:tcPr>
            <w:tcW w:w="7313" w:type="dxa"/>
            <w:vAlign w:val="center"/>
          </w:tcPr>
          <w:p w:rsidR="00AD4C29" w:rsidRPr="00AD4C29" w:rsidRDefault="00AD4C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Наименование регистра</w:t>
            </w:r>
          </w:p>
        </w:tc>
      </w:tr>
      <w:tr w:rsidR="00AD4C29" w:rsidRPr="00AD4C29">
        <w:tc>
          <w:tcPr>
            <w:tcW w:w="1757" w:type="dxa"/>
            <w:vAlign w:val="center"/>
          </w:tcPr>
          <w:p w:rsidR="00AD4C29" w:rsidRPr="00AD4C29" w:rsidRDefault="00AD4C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13" w:type="dxa"/>
            <w:vAlign w:val="center"/>
          </w:tcPr>
          <w:p w:rsidR="00AD4C29" w:rsidRPr="00AD4C29" w:rsidRDefault="00AD4C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Журнал операций с безналичными денежными средствами</w:t>
            </w:r>
          </w:p>
        </w:tc>
      </w:tr>
      <w:tr w:rsidR="00AD4C29" w:rsidRPr="00AD4C29">
        <w:tc>
          <w:tcPr>
            <w:tcW w:w="1757" w:type="dxa"/>
            <w:vAlign w:val="center"/>
          </w:tcPr>
          <w:p w:rsidR="00AD4C29" w:rsidRPr="00AD4C29" w:rsidRDefault="00AD4C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13" w:type="dxa"/>
            <w:vAlign w:val="center"/>
          </w:tcPr>
          <w:p w:rsidR="00AD4C29" w:rsidRPr="00AD4C29" w:rsidRDefault="00AD4C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Журнал операций расчетов с поставщиками и подрядчиками</w:t>
            </w:r>
          </w:p>
        </w:tc>
      </w:tr>
      <w:tr w:rsidR="00AD4C29" w:rsidRPr="00AD4C29">
        <w:tc>
          <w:tcPr>
            <w:tcW w:w="1757" w:type="dxa"/>
            <w:vAlign w:val="center"/>
          </w:tcPr>
          <w:p w:rsidR="00AD4C29" w:rsidRPr="00AD4C29" w:rsidRDefault="00AD4C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13" w:type="dxa"/>
            <w:vAlign w:val="center"/>
          </w:tcPr>
          <w:p w:rsidR="00AD4C29" w:rsidRPr="00AD4C29" w:rsidRDefault="00AD4C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Журнал операций расчетов с дебиторами по доходам</w:t>
            </w:r>
          </w:p>
        </w:tc>
      </w:tr>
      <w:tr w:rsidR="00AD4C29" w:rsidRPr="00AD4C29">
        <w:tc>
          <w:tcPr>
            <w:tcW w:w="1757" w:type="dxa"/>
            <w:vAlign w:val="center"/>
          </w:tcPr>
          <w:p w:rsidR="00AD4C29" w:rsidRPr="00AD4C29" w:rsidRDefault="00AD4C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13" w:type="dxa"/>
            <w:vAlign w:val="center"/>
          </w:tcPr>
          <w:p w:rsidR="00AD4C29" w:rsidRPr="00AD4C29" w:rsidRDefault="00AD4C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Журнал операций по выбытию и перемещению нефинансовых активов</w:t>
            </w:r>
          </w:p>
        </w:tc>
      </w:tr>
      <w:tr w:rsidR="00AD4C29" w:rsidRPr="00AD4C29">
        <w:tc>
          <w:tcPr>
            <w:tcW w:w="1757" w:type="dxa"/>
            <w:vAlign w:val="center"/>
          </w:tcPr>
          <w:p w:rsidR="00AD4C29" w:rsidRPr="00AD4C29" w:rsidRDefault="00AD4C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13" w:type="dxa"/>
            <w:vAlign w:val="center"/>
          </w:tcPr>
          <w:p w:rsidR="00AD4C29" w:rsidRPr="00AD4C29" w:rsidRDefault="00AD4C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Журнал по прочим операциям</w:t>
            </w:r>
          </w:p>
        </w:tc>
      </w:tr>
      <w:tr w:rsidR="00AD4C29" w:rsidRPr="00AD4C29">
        <w:tc>
          <w:tcPr>
            <w:tcW w:w="1757" w:type="dxa"/>
            <w:vAlign w:val="center"/>
          </w:tcPr>
          <w:p w:rsidR="00AD4C29" w:rsidRPr="00AD4C29" w:rsidRDefault="00AD4C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8-ош</w:t>
            </w:r>
          </w:p>
        </w:tc>
        <w:tc>
          <w:tcPr>
            <w:tcW w:w="7313" w:type="dxa"/>
            <w:vAlign w:val="center"/>
          </w:tcPr>
          <w:p w:rsidR="00AD4C29" w:rsidRPr="00AD4C29" w:rsidRDefault="00AD4C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Журнал по прочим операциям (исправление ошибок прошлых лет)</w:t>
            </w:r>
          </w:p>
        </w:tc>
      </w:tr>
      <w:tr w:rsidR="00AD4C29" w:rsidRPr="00AD4C29">
        <w:tc>
          <w:tcPr>
            <w:tcW w:w="1757" w:type="dxa"/>
            <w:vAlign w:val="center"/>
          </w:tcPr>
          <w:p w:rsidR="00AD4C29" w:rsidRPr="00AD4C29" w:rsidRDefault="00AD4C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8-мо</w:t>
            </w:r>
          </w:p>
        </w:tc>
        <w:tc>
          <w:tcPr>
            <w:tcW w:w="7313" w:type="dxa"/>
            <w:vAlign w:val="center"/>
          </w:tcPr>
          <w:p w:rsidR="00AD4C29" w:rsidRPr="00AD4C29" w:rsidRDefault="00AD4C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D4C29">
              <w:rPr>
                <w:rFonts w:ascii="Times New Roman" w:hAnsi="Times New Roman" w:cs="Times New Roman"/>
                <w:sz w:val="24"/>
                <w:szCs w:val="24"/>
              </w:rPr>
              <w:t>Журнал по прочим операциям формирования входящих остатков следующего финансового года</w:t>
            </w:r>
          </w:p>
        </w:tc>
      </w:tr>
    </w:tbl>
    <w:p w:rsidR="00AD4C29" w:rsidRDefault="00AD4C29">
      <w:pPr>
        <w:pStyle w:val="ConsPlusNormal"/>
        <w:ind w:firstLine="540"/>
        <w:jc w:val="both"/>
      </w:pPr>
    </w:p>
    <w:p w:rsidR="00AD4C29" w:rsidRDefault="00AD4C29">
      <w:pPr>
        <w:pStyle w:val="ConsPlusNormal"/>
        <w:ind w:firstLine="540"/>
        <w:jc w:val="both"/>
      </w:pPr>
    </w:p>
    <w:p w:rsidR="00AD4C29" w:rsidRDefault="00AD4C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744D" w:rsidRDefault="00A0744D"/>
    <w:sectPr w:rsidR="00A0744D" w:rsidSect="009F5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C29"/>
    <w:rsid w:val="00A0744D"/>
    <w:rsid w:val="00AD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938727-37B3-4DE7-BF5A-56537FC86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4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4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D4C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41E35AFC5E29604F9528330C82692C75811D4EE77DDC2663642BB6F2FF8B1ECCAAC42E04C44B31103AA5BFB1735F56482515EC4E5D4F6AYC36F" TargetMode="External"/><Relationship Id="rId13" Type="http://schemas.openxmlformats.org/officeDocument/2006/relationships/hyperlink" Target="consultantplus://offline/ref=A441E35AFC5E29604F95212A0B82692C708A1C43E57ADC2663642BB6F2FF8B1ECCAAC42E04C14930113AA5BFB1735F56482515EC4E5D4F6AYC36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441E35AFC5E29604F9528330C82692C75801B4EE77FDC2663642BB6F2FF8B1ECCAAC42E04C54934113AA5BFB1735F56482515EC4E5D4F6AYC36F" TargetMode="External"/><Relationship Id="rId12" Type="http://schemas.openxmlformats.org/officeDocument/2006/relationships/hyperlink" Target="consultantplus://offline/ref=A441E35AFC5E29604F95212A0B82692C708A1C43E57ADC2663642BB6F2FF8B1ECCAAC42E04C64936113AA5BFB1735F56482515EC4E5D4F6AYC36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441E35AFC5E29604F9528330C82692C76801C49EA78DC2663642BB6F2FF8B1ECCAAC42E04C64A301E3AA5BFB1735F56482515EC4E5D4F6AYC36F" TargetMode="External"/><Relationship Id="rId11" Type="http://schemas.openxmlformats.org/officeDocument/2006/relationships/hyperlink" Target="consultantplus://offline/ref=A441E35AFC5E29604F95212A0B82692C708A1C43E57ADC2663642BB6F2FF8B1ECCAAC42E04C64A32113AA5BFB1735F56482515EC4E5D4F6AYC36F" TargetMode="External"/><Relationship Id="rId5" Type="http://schemas.openxmlformats.org/officeDocument/2006/relationships/hyperlink" Target="consultantplus://offline/ref=A441E35AFC5E29604F95212A0B82692C708A1C43E57ADC2663642BB6F2FF8B1ECCAAC42E04C74F341B3AA5BFB1735F56482515EC4E5D4F6AYC36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441E35AFC5E29604F95212A0B82692C708A1C43E57ADC2663642BB6F2FF8B1ECCAAC42E04C7483D1D3AA5BFB1735F56482515EC4E5D4F6AYC36F" TargetMode="External"/><Relationship Id="rId4" Type="http://schemas.openxmlformats.org/officeDocument/2006/relationships/hyperlink" Target="consultantplus://offline/ref=A441E35AFC5E29604F95212A0B82692C708A1C43E57ADC2663642BB6F2FF8B1ECCAAC42E04C74E3D1E3AA5BFB1735F56482515EC4E5D4F6AYC36F" TargetMode="External"/><Relationship Id="rId9" Type="http://schemas.openxmlformats.org/officeDocument/2006/relationships/hyperlink" Target="consultantplus://offline/ref=A441E35AFC5E29604F95212A0B82692C708A1C43E57ADC2663642BB6F2FF8B1ECCAAC42E04C74F32183AA5BFB1735F56482515EC4E5D4F6AYC36F" TargetMode="External"/><Relationship Id="rId14" Type="http://schemas.openxmlformats.org/officeDocument/2006/relationships/hyperlink" Target="consultantplus://offline/ref=A441E35AFC5E29604F95212A0B82692C708A1C43E57ADC2663642BB6F2FF8B1ECCAAC42E04C04E361E3AA5BFB1735F56482515EC4E5D4F6AYC3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1785</Words>
  <Characters>10180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11942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Миниярова Антонина Николаевна</dc:creator>
  <cp:keywords/>
  <dc:description/>
  <cp:lastModifiedBy>Миниярова Антонина Николаевна</cp:lastModifiedBy>
  <cp:revision>1</cp:revision>
  <dcterms:created xsi:type="dcterms:W3CDTF">2020-04-20T05:55:00Z</dcterms:created>
  <dcterms:modified xsi:type="dcterms:W3CDTF">2020-04-20T05:56:00Z</dcterms:modified>
</cp:coreProperties>
</file>