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BA1" w:rsidRPr="00A37BA1" w:rsidRDefault="008E1741" w:rsidP="00C842D3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Статья </w:t>
      </w:r>
      <w:r w:rsidR="00A37BA1" w:rsidRPr="00A37BA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на тему:</w:t>
      </w:r>
    </w:p>
    <w:p w:rsidR="004466AB" w:rsidRDefault="00A37BA1" w:rsidP="009D5B5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6752">
        <w:rPr>
          <w:rFonts w:ascii="Times New Roman" w:hAnsi="Times New Roman" w:cs="Times New Roman"/>
          <w:b/>
          <w:sz w:val="28"/>
          <w:szCs w:val="28"/>
        </w:rPr>
        <w:t>«</w:t>
      </w:r>
      <w:r w:rsidR="009D5B53" w:rsidRPr="009D5B53">
        <w:rPr>
          <w:rFonts w:ascii="Times New Roman" w:hAnsi="Times New Roman" w:cs="Times New Roman"/>
          <w:b/>
          <w:sz w:val="28"/>
          <w:szCs w:val="28"/>
        </w:rPr>
        <w:t>Исполнение бюджет</w:t>
      </w:r>
      <w:r w:rsidR="00A36A40">
        <w:rPr>
          <w:rFonts w:ascii="Times New Roman" w:hAnsi="Times New Roman" w:cs="Times New Roman"/>
          <w:b/>
          <w:sz w:val="28"/>
          <w:szCs w:val="28"/>
        </w:rPr>
        <w:t>а</w:t>
      </w:r>
      <w:r w:rsidR="009D5B53" w:rsidRPr="009D5B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2424">
        <w:rPr>
          <w:rFonts w:ascii="Times New Roman" w:hAnsi="Times New Roman" w:cs="Times New Roman"/>
          <w:b/>
          <w:sz w:val="28"/>
          <w:szCs w:val="28"/>
        </w:rPr>
        <w:t xml:space="preserve">Тюменской области </w:t>
      </w:r>
      <w:r w:rsidR="009D5B53" w:rsidRPr="009D5B53">
        <w:rPr>
          <w:rFonts w:ascii="Times New Roman" w:hAnsi="Times New Roman" w:cs="Times New Roman"/>
          <w:b/>
          <w:sz w:val="28"/>
          <w:szCs w:val="28"/>
        </w:rPr>
        <w:t xml:space="preserve">по доходам </w:t>
      </w:r>
      <w:r w:rsidR="009D5B53">
        <w:rPr>
          <w:rFonts w:ascii="Times New Roman" w:hAnsi="Times New Roman" w:cs="Times New Roman"/>
          <w:b/>
          <w:sz w:val="28"/>
          <w:szCs w:val="28"/>
        </w:rPr>
        <w:t>за 9 месяцев 202</w:t>
      </w:r>
      <w:r w:rsidR="00F440F5" w:rsidRPr="00F440F5">
        <w:rPr>
          <w:rFonts w:ascii="Times New Roman" w:hAnsi="Times New Roman" w:cs="Times New Roman"/>
          <w:b/>
          <w:sz w:val="28"/>
          <w:szCs w:val="28"/>
        </w:rPr>
        <w:t>4</w:t>
      </w:r>
      <w:r w:rsidR="009D5B53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36A40">
        <w:rPr>
          <w:rFonts w:ascii="Times New Roman" w:hAnsi="Times New Roman" w:cs="Times New Roman"/>
          <w:b/>
          <w:sz w:val="28"/>
          <w:szCs w:val="28"/>
        </w:rPr>
        <w:t>.</w:t>
      </w:r>
      <w:r w:rsidR="00A36A40" w:rsidRPr="00A36A40">
        <w:rPr>
          <w:rFonts w:ascii="Times New Roman" w:hAnsi="Times New Roman" w:cs="Times New Roman"/>
          <w:b/>
          <w:sz w:val="28"/>
          <w:szCs w:val="28"/>
        </w:rPr>
        <w:t xml:space="preserve"> Проведение подготовительных мероприятий по переходу в ПУД ГИИС ЭБ</w:t>
      </w:r>
      <w:r w:rsidRPr="00A36A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3E3242" w:rsidRDefault="003E3242" w:rsidP="009D5B5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A39BF" w:rsidRPr="000E17AB" w:rsidRDefault="006A39BF" w:rsidP="006A39BF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Итогами исполнения </w:t>
      </w:r>
      <w:r w:rsidR="008E1741" w:rsidRPr="008E1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бюджетов бюджетной системы Российской Федерации </w:t>
      </w: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доходам на территории Тюменской области </w:t>
      </w:r>
      <w:r w:rsidR="00F559C4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за 9 месяцев</w:t>
      </w: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F440F5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r w:rsidR="00F559C4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являются следующие показатели:</w:t>
      </w:r>
    </w:p>
    <w:p w:rsidR="00140417" w:rsidRPr="000E17AB" w:rsidRDefault="00140417" w:rsidP="00C842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AB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Объем поступлений</w:t>
      </w:r>
      <w:r w:rsidRPr="000E17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бюджеты бюджетной системы Российской Федерации на территории Тюменской области на </w:t>
      </w:r>
      <w:r w:rsidR="00823DD3" w:rsidRPr="000E17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01.</w:t>
      </w:r>
      <w:r w:rsidR="009D5B53" w:rsidRPr="000E17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="000A7A92" w:rsidRPr="000E17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E17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F440F5" w:rsidRPr="000E17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0E17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составил </w:t>
      </w:r>
      <w:r w:rsidR="00C767B8" w:rsidRPr="000E17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349,8</w:t>
      </w:r>
      <w:r w:rsidRPr="000E17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млрд. руб.</w:t>
      </w:r>
      <w:r w:rsidR="000B72EB" w:rsidRPr="000E17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 xml:space="preserve"> в том числе: </w:t>
      </w:r>
      <w:r w:rsidR="004354F6"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 xml:space="preserve">в федеральный бюджет – </w:t>
      </w:r>
      <w:r w:rsidR="00C767B8"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>4,0</w:t>
      </w:r>
      <w:r w:rsidR="004354F6"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 xml:space="preserve"> млрд. руб. или </w:t>
      </w:r>
      <w:r w:rsidR="00B62D6D"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4354F6"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 xml:space="preserve">% от общего объема поступлений; </w:t>
      </w:r>
      <w:r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>в бюджеты государственных внебюджетных фондов –</w:t>
      </w:r>
      <w:r w:rsidR="00B62D6D"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A2A9D"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>14,6</w:t>
      </w:r>
      <w:r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 xml:space="preserve"> млрд. рублей или </w:t>
      </w:r>
      <w:r w:rsidR="001A2A9D"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>4,2</w:t>
      </w:r>
      <w:r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 xml:space="preserve">% от общего объема поступлений; в бюджет субъекта – </w:t>
      </w:r>
      <w:r w:rsidR="00C767B8"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>141,5</w:t>
      </w:r>
      <w:r w:rsidR="004E1A92"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 xml:space="preserve"> млрд. рублей или </w:t>
      </w:r>
      <w:r w:rsidR="00B62D6D"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1A2A9D"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>0,4</w:t>
      </w:r>
      <w:r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 xml:space="preserve">% от общего объема поступлений в бюджетную систему Российской Федерации; в местные бюджеты – </w:t>
      </w:r>
      <w:r w:rsidR="001A2A9D"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>89,8</w:t>
      </w:r>
      <w:r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 xml:space="preserve"> млрд. рублей или </w:t>
      </w:r>
      <w:r w:rsidR="00B62D6D"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1A2A9D"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B62D6D"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1A2A9D"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0E17AB"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  <w:t xml:space="preserve">% от общего объема поступлений в бюджетную систему Российской Федерации. </w:t>
      </w:r>
      <w:r w:rsidRPr="000E17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B72EB" w:rsidRPr="000E17AB" w:rsidRDefault="004354F6" w:rsidP="00C842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3242">
        <w:rPr>
          <w:rFonts w:ascii="Times New Roman" w:hAnsi="Times New Roman" w:cs="Times New Roman"/>
          <w:color w:val="000000" w:themeColor="text1"/>
          <w:sz w:val="28"/>
          <w:szCs w:val="28"/>
        </w:rPr>
        <w:t>Сумма невыясненных поступлений</w:t>
      </w:r>
      <w:r w:rsidR="000B72EB" w:rsidRPr="003E3242">
        <w:rPr>
          <w:rFonts w:ascii="Times New Roman" w:hAnsi="Times New Roman" w:cs="Times New Roman"/>
          <w:color w:val="000000" w:themeColor="text1"/>
          <w:sz w:val="28"/>
          <w:szCs w:val="28"/>
        </w:rPr>
        <w:t>, зачисляемых в федеральный бюджет</w:t>
      </w:r>
      <w:r w:rsidR="008E1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НВП)</w:t>
      </w:r>
      <w:r w:rsidR="000B72EB" w:rsidRPr="003E324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372862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01.10</w:t>
      </w: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8A591B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747AD1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составила</w:t>
      </w: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2A9D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40</w:t>
      </w: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2862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млн. руб., в том числе за 202</w:t>
      </w:r>
      <w:r w:rsidR="001A2A9D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 </w:t>
      </w: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год –</w:t>
      </w:r>
      <w:r w:rsidR="00B62D6D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2A9D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24,9</w:t>
      </w: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млн. руб. </w:t>
      </w:r>
    </w:p>
    <w:p w:rsidR="004354F6" w:rsidRDefault="004354F6" w:rsidP="00C842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сравнению с аналогичным периодом прошлого года (на </w:t>
      </w:r>
      <w:r w:rsidR="004E1A92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01.10</w:t>
      </w: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1A2A9D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всего – </w:t>
      </w:r>
      <w:r w:rsidR="001A2A9D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34</w:t>
      </w: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млн. руб., в </w:t>
      </w:r>
      <w:proofErr w:type="spellStart"/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т.ч</w:t>
      </w:r>
      <w:proofErr w:type="spellEnd"/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. 20</w:t>
      </w:r>
      <w:r w:rsidR="001A2A9D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–   </w:t>
      </w:r>
      <w:r w:rsidR="001A2A9D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11,9</w:t>
      </w: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млн. руб.)</w:t>
      </w:r>
      <w:r w:rsidR="001A2A9D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несмотря на всю проводимую </w:t>
      </w:r>
      <w:bookmarkStart w:id="0" w:name="_GoBack"/>
      <w:bookmarkEnd w:id="0"/>
      <w:r w:rsidR="001A2A9D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работу по минимизации объема невыясненных поступлений, наблюдается рост невыясненных</w:t>
      </w:r>
      <w:r w:rsidR="00EF6752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поступлени</w:t>
      </w:r>
      <w:r w:rsidR="001A2A9D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EF6752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, зачисляемы</w:t>
      </w:r>
      <w:r w:rsidR="001A2A9D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EF6752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федеральный бюджет, </w:t>
      </w:r>
      <w:r w:rsidR="00A73B41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1A2A9D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2862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млн. руб</w:t>
      </w: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2A0F82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1A2A9D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2A0F82"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%.</w:t>
      </w:r>
    </w:p>
    <w:p w:rsidR="00804A71" w:rsidRDefault="00804A71" w:rsidP="00804A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Наибольшее количество </w:t>
      </w:r>
      <w:r w:rsidR="003E3242">
        <w:rPr>
          <w:rFonts w:ascii="Times New Roman" w:hAnsi="Times New Roman" w:cs="Times New Roman"/>
          <w:color w:val="000000" w:themeColor="text1"/>
          <w:sz w:val="28"/>
          <w:szCs w:val="28"/>
        </w:rPr>
        <w:t>платежей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отнесенных к </w:t>
      </w:r>
      <w:r w:rsidR="008E1741">
        <w:rPr>
          <w:rFonts w:ascii="Times New Roman" w:hAnsi="Times New Roman" w:cs="Times New Roman"/>
          <w:color w:val="000000" w:themeColor="text1"/>
          <w:sz w:val="28"/>
          <w:szCs w:val="28"/>
        </w:rPr>
        <w:t>НВП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поступило в 1 квартале 2024 года (25</w:t>
      </w:r>
      <w:r w:rsidR="003E32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713 на сумму </w:t>
      </w:r>
      <w:r w:rsidRPr="00804A71">
        <w:rPr>
          <w:rFonts w:ascii="Times New Roman" w:hAnsi="Times New Roman" w:cs="Times New Roman"/>
          <w:color w:val="000000" w:themeColor="text1"/>
          <w:sz w:val="28"/>
          <w:szCs w:val="28"/>
        </w:rPr>
        <w:t>134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04A71">
        <w:rPr>
          <w:rFonts w:ascii="Times New Roman" w:hAnsi="Times New Roman" w:cs="Times New Roman"/>
          <w:color w:val="000000" w:themeColor="text1"/>
          <w:sz w:val="28"/>
          <w:szCs w:val="28"/>
        </w:rPr>
        <w:t>555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04A71">
        <w:rPr>
          <w:rFonts w:ascii="Times New Roman" w:hAnsi="Times New Roman" w:cs="Times New Roman"/>
          <w:color w:val="000000" w:themeColor="text1"/>
          <w:sz w:val="28"/>
          <w:szCs w:val="28"/>
        </w:rPr>
        <w:t>969,41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руб.). На первом месте, по соотношению к общему объему НВП</w:t>
      </w:r>
      <w:r w:rsidR="003E324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причина отнесения на невыясненные «03;07» - </w:t>
      </w:r>
      <w:r w:rsidR="008E174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04A71">
        <w:rPr>
          <w:rFonts w:ascii="Times New Roman" w:hAnsi="Times New Roman" w:cs="Times New Roman"/>
          <w:color w:val="000000" w:themeColor="text1"/>
          <w:sz w:val="28"/>
          <w:szCs w:val="28"/>
        </w:rPr>
        <w:t>КБК не указан либо указан неверно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804A71">
        <w:rPr>
          <w:rFonts w:ascii="Times New Roman" w:hAnsi="Times New Roman" w:cs="Times New Roman"/>
          <w:color w:val="000000" w:themeColor="text1"/>
          <w:sz w:val="28"/>
          <w:szCs w:val="28"/>
        </w:rPr>
        <w:t>Отсутствие полномочий администрирования</w:t>
      </w:r>
      <w:r w:rsidR="008E174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 на втором месте совокупность причин «02; 02;08» -</w:t>
      </w:r>
      <w:r w:rsidR="008E1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804A71">
        <w:rPr>
          <w:rFonts w:ascii="Times New Roman" w:hAnsi="Times New Roman" w:cs="Times New Roman"/>
          <w:color w:val="000000" w:themeColor="text1"/>
          <w:sz w:val="28"/>
          <w:szCs w:val="28"/>
        </w:rPr>
        <w:t>ИНН и КПП, либо наименование получателя не указаны, либо указаны неверно</w:t>
      </w:r>
      <w:r w:rsidR="008E174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E174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04A71">
        <w:rPr>
          <w:rFonts w:ascii="Times New Roman" w:hAnsi="Times New Roman" w:cs="Times New Roman"/>
          <w:color w:val="000000" w:themeColor="text1"/>
          <w:sz w:val="28"/>
          <w:szCs w:val="28"/>
        </w:rPr>
        <w:t>Код ОКТМО не указан либо указан неверно</w:t>
      </w:r>
      <w:r w:rsidR="008E174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И на третьем месте по объему НВП, отраженные с причиной «44»</w:t>
      </w:r>
      <w:r w:rsidR="003E32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766B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Подлежит передаче в ТОФК по ФНС</w:t>
      </w:r>
      <w:r w:rsidR="00F766B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E1741">
        <w:rPr>
          <w:rFonts w:ascii="Times New Roman" w:hAnsi="Times New Roman" w:cs="Times New Roman"/>
          <w:color w:val="000000" w:themeColor="text1"/>
          <w:sz w:val="28"/>
          <w:szCs w:val="28"/>
        </w:rPr>
        <w:t>Исходя из проведенного анализа НВП можно сделать вывод, что администраторами доходов бюджета проводится недостаточная работа по доведению до плательщиков актуальн</w:t>
      </w:r>
      <w:r w:rsidR="00D107E2">
        <w:rPr>
          <w:rFonts w:ascii="Times New Roman" w:hAnsi="Times New Roman" w:cs="Times New Roman"/>
          <w:color w:val="000000" w:themeColor="text1"/>
          <w:sz w:val="28"/>
          <w:szCs w:val="28"/>
        </w:rPr>
        <w:t>ой информации, необходимой для уплаты денежных средств физическими и юридическими лицами</w:t>
      </w:r>
      <w:r w:rsidR="008E174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107E2" w:rsidRDefault="00D107E2" w:rsidP="00A9242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7E2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предварительного</w:t>
      </w:r>
      <w:r w:rsidRPr="00D107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рейтинга показывают, что по состоянию на 01.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D107E2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D107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активность администраторов начислений – органов государственной власти Тюменской области и местного самоуправления, в части предоставления в ГИС ГМП информации, необходимой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по сравнению с предыдущим периодом имеет положительную динамику и составила 85,66% (+0,23% к августу 2024 года)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4E0D" w:rsidRDefault="000E17AB" w:rsidP="008F231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</w:t>
      </w:r>
      <w:proofErr w:type="spellStart"/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>импортозамещения</w:t>
      </w:r>
      <w:proofErr w:type="spellEnd"/>
      <w:r w:rsidRPr="000E1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децентрализованной информационной системы «АСФК» Федеральным каз</w:t>
      </w:r>
      <w:r w:rsidR="00AC1A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начейством осуществляется создание и внедрение новых технологических решений по учету и распределению поступлений между бюджетами бюджетной системы Российской Федерации в модуле администрирования и </w:t>
      </w:r>
      <w:r w:rsidR="00AC1AB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распределения доходов бюджетов бюджетной системы РФ подсистемы управления доходами государственной интегрированной информационной системы управления общественными финансами (ПУД ГИИС ЭБ).</w:t>
      </w:r>
      <w:r w:rsidR="00F766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343F7" w:rsidRDefault="00F766B7" w:rsidP="00574E0D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Полный переход на учет и распределение поступлений в ПУД ГИИС</w:t>
      </w:r>
      <w:r w:rsidR="00574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ЭБ запланирован на 2025 год, в связи с чем </w:t>
      </w:r>
      <w:r w:rsidR="00F343F7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Федерального казначейства по субъектам Российской Федерации осуществляют казначейское обслуживание</w:t>
      </w:r>
      <w:r w:rsidR="00DE5C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поступлений в бюджеты в соответствии с Порядком № 21н от 14.05.2020 и открытие и ведение лицевых счетов АДБ в соответствии с Порядком №21н от 17.10.2016, с учетом особенностей, доведенных письмом Федерального казначейства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17.09.2024 № 07-04-0</w:t>
      </w:r>
      <w:r w:rsidR="00574E0D">
        <w:rPr>
          <w:rFonts w:ascii="Times New Roman" w:hAnsi="Times New Roman" w:cs="Times New Roman"/>
          <w:color w:val="000000" w:themeColor="text1"/>
          <w:sz w:val="28"/>
          <w:szCs w:val="28"/>
        </w:rPr>
        <w:t>5/05-26526, приведенных ниже.</w:t>
      </w:r>
    </w:p>
    <w:p w:rsidR="00AB5EF0" w:rsidRDefault="00AB5EF0" w:rsidP="008F231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казначейского обслуживания поступлений в бюджеты ГАДБ представляет в ТОФК Реестр администрируемых доходов (РАД), содержащий перечень подведомственных АДБ и администрируемые ими источники доходов по соответствующим КБК в сроки:</w:t>
      </w:r>
    </w:p>
    <w:p w:rsidR="00AB5EF0" w:rsidRDefault="00AB5EF0" w:rsidP="008F231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на текущий финансовый год – не позднее трех рабочих дней, следующих за днем наделения АДБ полномочиями по администрированию;</w:t>
      </w:r>
    </w:p>
    <w:p w:rsidR="00AB5EF0" w:rsidRDefault="00AB5EF0" w:rsidP="008F231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на очередной финансовый год – не позднее трех рабочих дней до завершения текущего финансового года;</w:t>
      </w:r>
    </w:p>
    <w:p w:rsidR="00AB5EF0" w:rsidRDefault="00AB5EF0" w:rsidP="008F231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при открытии лицевого счета администратора доходов бюджета – не позднее трех рабочих дней, следующих за днем направления АДБ в ТОФК Заявл</w:t>
      </w:r>
      <w:r w:rsidR="00574E0D">
        <w:rPr>
          <w:rFonts w:ascii="Times New Roman" w:hAnsi="Times New Roman" w:cs="Times New Roman"/>
          <w:color w:val="000000" w:themeColor="text1"/>
          <w:sz w:val="28"/>
          <w:szCs w:val="28"/>
        </w:rPr>
        <w:t>ения на открытие лицевого счета.</w:t>
      </w:r>
    </w:p>
    <w:p w:rsidR="00AB5EF0" w:rsidRDefault="00AB5EF0" w:rsidP="008F231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ТОФК при приеме РАД проверяют его на соответствие КБК, указанных в Реестре, КБК, установленным </w:t>
      </w:r>
      <w:r w:rsidR="000D4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законодательством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соответс</w:t>
      </w:r>
      <w:r w:rsidR="00574E0D">
        <w:rPr>
          <w:rFonts w:ascii="Times New Roman" w:hAnsi="Times New Roman" w:cs="Times New Roman"/>
          <w:color w:val="000000" w:themeColor="text1"/>
          <w:sz w:val="28"/>
          <w:szCs w:val="28"/>
        </w:rPr>
        <w:t>твующий финансовый год.</w:t>
      </w:r>
    </w:p>
    <w:p w:rsidR="00AB5EF0" w:rsidRDefault="00AB5EF0" w:rsidP="008F231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закрытии лицевого счета АДБ осуществляется закрытие администрируемых им источников доходов</w:t>
      </w:r>
      <w:r w:rsidR="00574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бюджета без предоставления РАД.</w:t>
      </w:r>
    </w:p>
    <w:p w:rsidR="00633AE1" w:rsidRDefault="00633AE1" w:rsidP="008F231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лицевого счета АДБ представляется АДБ не позднее следующего рабочего дня после открытия лицевого счета АДБ, при этом в случае отсутствия показателей на лицевом счете АДБ ее соде</w:t>
      </w:r>
      <w:r w:rsidR="00574E0D">
        <w:rPr>
          <w:rFonts w:ascii="Times New Roman" w:hAnsi="Times New Roman" w:cs="Times New Roman"/>
          <w:color w:val="000000" w:themeColor="text1"/>
          <w:sz w:val="28"/>
          <w:szCs w:val="28"/>
        </w:rPr>
        <w:t>ржательная часть не заполняется.</w:t>
      </w:r>
    </w:p>
    <w:p w:rsidR="00633AE1" w:rsidRDefault="00633AE1" w:rsidP="008F231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к Выписке из лицевого счета А</w:t>
      </w:r>
      <w:r w:rsidR="00574E0D">
        <w:rPr>
          <w:rFonts w:ascii="Times New Roman" w:hAnsi="Times New Roman" w:cs="Times New Roman"/>
          <w:color w:val="000000" w:themeColor="text1"/>
          <w:sz w:val="28"/>
          <w:szCs w:val="28"/>
        </w:rPr>
        <w:t>ДБ в ПУД ГИИС ЭБ не применяется.</w:t>
      </w:r>
    </w:p>
    <w:p w:rsidR="00633AE1" w:rsidRDefault="00633AE1" w:rsidP="008F231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Сверка показателей, учтенных на лицевых счетах АДБ, казначейское обслуживание которых осуществляется в ПУД ГИИС ЭБ, производится в соответствии с положениями Порядка 198н, т.е. </w:t>
      </w:r>
      <w:r w:rsidRPr="00633AE1">
        <w:rPr>
          <w:rFonts w:ascii="Times New Roman" w:hAnsi="Times New Roman" w:cs="Times New Roman"/>
          <w:color w:val="000000" w:themeColor="text1"/>
          <w:sz w:val="28"/>
          <w:szCs w:val="28"/>
        </w:rPr>
        <w:t>по мере обращения администратора поступлений в бюджет или финансового органа (органа управления государственным внебюджетным фондом) в органы Федерального казначейства,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 не чаще одного раза в месяц, в связи с чем Отчет о состоянии лицевого сче</w:t>
      </w:r>
      <w:r w:rsidR="00574E0D">
        <w:rPr>
          <w:rFonts w:ascii="Times New Roman" w:hAnsi="Times New Roman" w:cs="Times New Roman"/>
          <w:color w:val="000000" w:themeColor="text1"/>
          <w:sz w:val="28"/>
          <w:szCs w:val="28"/>
        </w:rPr>
        <w:t>та в ПУД ГИИС ЭБ не применяется.</w:t>
      </w:r>
    </w:p>
    <w:p w:rsidR="00633AE1" w:rsidRDefault="00AB5EF0" w:rsidP="008F231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</w:t>
      </w:r>
      <w:r w:rsidR="001D421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</w:t>
      </w:r>
      <w:r w:rsidR="00633AE1">
        <w:rPr>
          <w:rFonts w:ascii="Times New Roman" w:hAnsi="Times New Roman" w:cs="Times New Roman"/>
          <w:color w:val="000000" w:themeColor="text1"/>
          <w:sz w:val="28"/>
          <w:szCs w:val="28"/>
        </w:rPr>
        <w:t>совершении казначейского платежа (возврат/уточнение) исполняются не позднее второго рабочего дня, следующего за днем их приема ТОФК.</w:t>
      </w:r>
    </w:p>
    <w:p w:rsidR="00A92424" w:rsidRDefault="00574E0D" w:rsidP="00F766B7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</w:t>
      </w:r>
      <w:r w:rsidR="00F766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информирования администраторов доходов бюджета о переходе на работу в ПУД ГИИС ЭБ </w:t>
      </w:r>
      <w:r w:rsidR="00F766B7" w:rsidRPr="00F766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Управления в разделе ГИС/Электронный бюджет создан подраздел «Подсистема управления доходами», </w:t>
      </w:r>
      <w:r w:rsidR="00F766B7">
        <w:rPr>
          <w:rFonts w:ascii="Times New Roman" w:hAnsi="Times New Roman" w:cs="Times New Roman"/>
          <w:color w:val="000000" w:themeColor="text1"/>
          <w:sz w:val="28"/>
          <w:szCs w:val="28"/>
        </w:rPr>
        <w:t>в котором</w:t>
      </w:r>
      <w:r w:rsidR="00F766B7" w:rsidRPr="00F766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размещены требования к форматам обмена, основная информация о </w:t>
      </w:r>
      <w:r w:rsidR="00F766B7" w:rsidRPr="00F766B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переходе на ПУД ГИИС ЭБ, а также материалы видеоконференции Федерального казначейства от 29.08.2024. </w:t>
      </w:r>
    </w:p>
    <w:p w:rsidR="00C8213F" w:rsidRDefault="00C8213F" w:rsidP="00C8213F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8213F" w:rsidRDefault="00C8213F" w:rsidP="00C8213F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8213F" w:rsidRPr="00C8213F" w:rsidRDefault="00C8213F" w:rsidP="00C8213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213F">
        <w:rPr>
          <w:rFonts w:ascii="Times New Roman" w:hAnsi="Times New Roman" w:cs="Times New Roman"/>
          <w:sz w:val="28"/>
          <w:szCs w:val="28"/>
        </w:rPr>
        <w:t xml:space="preserve">Начальник отдела доходов УФК по Тюменской области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8213F">
        <w:rPr>
          <w:rFonts w:ascii="Times New Roman" w:hAnsi="Times New Roman" w:cs="Times New Roman"/>
          <w:sz w:val="28"/>
          <w:szCs w:val="28"/>
        </w:rPr>
        <w:t>И.А. Головчиц</w:t>
      </w:r>
    </w:p>
    <w:sectPr w:rsidR="00C8213F" w:rsidRPr="00C8213F" w:rsidSect="00D947C1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A3C" w:rsidRDefault="003D2A3C" w:rsidP="00D947C1">
      <w:pPr>
        <w:spacing w:after="0" w:line="240" w:lineRule="auto"/>
      </w:pPr>
      <w:r>
        <w:separator/>
      </w:r>
    </w:p>
  </w:endnote>
  <w:endnote w:type="continuationSeparator" w:id="0">
    <w:p w:rsidR="003D2A3C" w:rsidRDefault="003D2A3C" w:rsidP="00D94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A3C" w:rsidRDefault="003D2A3C" w:rsidP="00D947C1">
      <w:pPr>
        <w:spacing w:after="0" w:line="240" w:lineRule="auto"/>
      </w:pPr>
      <w:r>
        <w:separator/>
      </w:r>
    </w:p>
  </w:footnote>
  <w:footnote w:type="continuationSeparator" w:id="0">
    <w:p w:rsidR="003D2A3C" w:rsidRDefault="003D2A3C" w:rsidP="00D94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9838561"/>
      <w:docPartObj>
        <w:docPartGallery w:val="Page Numbers (Top of Page)"/>
        <w:docPartUnique/>
      </w:docPartObj>
    </w:sdtPr>
    <w:sdtEndPr/>
    <w:sdtContent>
      <w:p w:rsidR="00D947C1" w:rsidRDefault="00D947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0485">
          <w:rPr>
            <w:noProof/>
          </w:rPr>
          <w:t>3</w:t>
        </w:r>
        <w:r>
          <w:fldChar w:fldCharType="end"/>
        </w:r>
      </w:p>
    </w:sdtContent>
  </w:sdt>
  <w:p w:rsidR="00D947C1" w:rsidRDefault="00D947C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104"/>
    <w:rsid w:val="00002A07"/>
    <w:rsid w:val="00022EEA"/>
    <w:rsid w:val="00062523"/>
    <w:rsid w:val="000A7A92"/>
    <w:rsid w:val="000B72EB"/>
    <w:rsid w:val="000C7D92"/>
    <w:rsid w:val="000D4A7D"/>
    <w:rsid w:val="000E0BDA"/>
    <w:rsid w:val="000E17AB"/>
    <w:rsid w:val="00123CE9"/>
    <w:rsid w:val="00140417"/>
    <w:rsid w:val="001734EC"/>
    <w:rsid w:val="001829D0"/>
    <w:rsid w:val="001A2A9D"/>
    <w:rsid w:val="001A48DF"/>
    <w:rsid w:val="001D2D62"/>
    <w:rsid w:val="001D421C"/>
    <w:rsid w:val="001F2B80"/>
    <w:rsid w:val="002A0F82"/>
    <w:rsid w:val="002A48CD"/>
    <w:rsid w:val="002D0304"/>
    <w:rsid w:val="00300227"/>
    <w:rsid w:val="00323E8D"/>
    <w:rsid w:val="003326AB"/>
    <w:rsid w:val="00361BAC"/>
    <w:rsid w:val="00365F44"/>
    <w:rsid w:val="00372862"/>
    <w:rsid w:val="00375104"/>
    <w:rsid w:val="003954F5"/>
    <w:rsid w:val="00396B2A"/>
    <w:rsid w:val="003C1EAB"/>
    <w:rsid w:val="003C6462"/>
    <w:rsid w:val="003D2A3C"/>
    <w:rsid w:val="003E3242"/>
    <w:rsid w:val="00430697"/>
    <w:rsid w:val="004354F6"/>
    <w:rsid w:val="004466AB"/>
    <w:rsid w:val="00447AAA"/>
    <w:rsid w:val="0047366B"/>
    <w:rsid w:val="004B7C8F"/>
    <w:rsid w:val="004C2F95"/>
    <w:rsid w:val="004C402E"/>
    <w:rsid w:val="004E1A92"/>
    <w:rsid w:val="005045EC"/>
    <w:rsid w:val="0051476C"/>
    <w:rsid w:val="005339C3"/>
    <w:rsid w:val="00553A15"/>
    <w:rsid w:val="00557F9E"/>
    <w:rsid w:val="00574E0D"/>
    <w:rsid w:val="0058606C"/>
    <w:rsid w:val="005B1044"/>
    <w:rsid w:val="00633AE1"/>
    <w:rsid w:val="00680625"/>
    <w:rsid w:val="00685026"/>
    <w:rsid w:val="00693473"/>
    <w:rsid w:val="006A39BF"/>
    <w:rsid w:val="006B5595"/>
    <w:rsid w:val="006D34AE"/>
    <w:rsid w:val="006F104A"/>
    <w:rsid w:val="006F1B80"/>
    <w:rsid w:val="00721AA1"/>
    <w:rsid w:val="00747AD1"/>
    <w:rsid w:val="007C0815"/>
    <w:rsid w:val="007D023B"/>
    <w:rsid w:val="00804A71"/>
    <w:rsid w:val="00823DD3"/>
    <w:rsid w:val="0083058B"/>
    <w:rsid w:val="0083544D"/>
    <w:rsid w:val="008A591B"/>
    <w:rsid w:val="008B4AC1"/>
    <w:rsid w:val="008D43F0"/>
    <w:rsid w:val="008E1741"/>
    <w:rsid w:val="008E2079"/>
    <w:rsid w:val="008F231A"/>
    <w:rsid w:val="008F75CF"/>
    <w:rsid w:val="00971CB4"/>
    <w:rsid w:val="00991FC1"/>
    <w:rsid w:val="009D3459"/>
    <w:rsid w:val="009D5B53"/>
    <w:rsid w:val="00A27CA6"/>
    <w:rsid w:val="00A36A40"/>
    <w:rsid w:val="00A37BA1"/>
    <w:rsid w:val="00A44778"/>
    <w:rsid w:val="00A535D7"/>
    <w:rsid w:val="00A73B41"/>
    <w:rsid w:val="00A83FF3"/>
    <w:rsid w:val="00A92424"/>
    <w:rsid w:val="00AA7EEA"/>
    <w:rsid w:val="00AB5EF0"/>
    <w:rsid w:val="00AC1AB1"/>
    <w:rsid w:val="00AD77BD"/>
    <w:rsid w:val="00B1663E"/>
    <w:rsid w:val="00B62D6D"/>
    <w:rsid w:val="00BC63AC"/>
    <w:rsid w:val="00BD6275"/>
    <w:rsid w:val="00BE5E35"/>
    <w:rsid w:val="00BF2F32"/>
    <w:rsid w:val="00BF5C35"/>
    <w:rsid w:val="00C40DC5"/>
    <w:rsid w:val="00C4778B"/>
    <w:rsid w:val="00C750D5"/>
    <w:rsid w:val="00C767B8"/>
    <w:rsid w:val="00C8213F"/>
    <w:rsid w:val="00C82F32"/>
    <w:rsid w:val="00C842D3"/>
    <w:rsid w:val="00C84FAE"/>
    <w:rsid w:val="00C901DE"/>
    <w:rsid w:val="00CA4463"/>
    <w:rsid w:val="00CB1E54"/>
    <w:rsid w:val="00CB5AB8"/>
    <w:rsid w:val="00CF0334"/>
    <w:rsid w:val="00D107E2"/>
    <w:rsid w:val="00D522E9"/>
    <w:rsid w:val="00D67BBA"/>
    <w:rsid w:val="00D714CE"/>
    <w:rsid w:val="00D92DD9"/>
    <w:rsid w:val="00D947C1"/>
    <w:rsid w:val="00DB2035"/>
    <w:rsid w:val="00DB3773"/>
    <w:rsid w:val="00DB7B4A"/>
    <w:rsid w:val="00DC183D"/>
    <w:rsid w:val="00DE5CD8"/>
    <w:rsid w:val="00E470D0"/>
    <w:rsid w:val="00E819B2"/>
    <w:rsid w:val="00E84150"/>
    <w:rsid w:val="00E978C9"/>
    <w:rsid w:val="00EC4C98"/>
    <w:rsid w:val="00EC653D"/>
    <w:rsid w:val="00EF081F"/>
    <w:rsid w:val="00EF5FEE"/>
    <w:rsid w:val="00EF6752"/>
    <w:rsid w:val="00F1645C"/>
    <w:rsid w:val="00F343F7"/>
    <w:rsid w:val="00F440F5"/>
    <w:rsid w:val="00F559C4"/>
    <w:rsid w:val="00F5795C"/>
    <w:rsid w:val="00F766B7"/>
    <w:rsid w:val="00F85916"/>
    <w:rsid w:val="00FB5AEB"/>
    <w:rsid w:val="00FC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FB9701-7A94-48D1-9578-C9E93D3D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041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947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47C1"/>
  </w:style>
  <w:style w:type="paragraph" w:styleId="a6">
    <w:name w:val="footer"/>
    <w:basedOn w:val="a"/>
    <w:link w:val="a7"/>
    <w:uiPriority w:val="99"/>
    <w:unhideWhenUsed/>
    <w:rsid w:val="00D947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47C1"/>
  </w:style>
  <w:style w:type="paragraph" w:styleId="a8">
    <w:name w:val="Balloon Text"/>
    <w:basedOn w:val="a"/>
    <w:link w:val="a9"/>
    <w:uiPriority w:val="99"/>
    <w:semiHidden/>
    <w:unhideWhenUsed/>
    <w:rsid w:val="00F859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859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3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1969</TotalTime>
  <Pages>3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67</Company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Головчиц Ирина Александровна</dc:creator>
  <cp:keywords/>
  <dc:description/>
  <cp:lastModifiedBy>Петроченко Марина Михайловна</cp:lastModifiedBy>
  <cp:revision>57</cp:revision>
  <cp:lastPrinted>2024-10-11T04:03:00Z</cp:lastPrinted>
  <dcterms:created xsi:type="dcterms:W3CDTF">2021-08-24T05:56:00Z</dcterms:created>
  <dcterms:modified xsi:type="dcterms:W3CDTF">2024-10-14T08:32:00Z</dcterms:modified>
</cp:coreProperties>
</file>