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AD1" w:rsidRDefault="00173AD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73AD1" w:rsidRDefault="00C83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деятельности УФК по Тюменской области в части исполнения полномочий по контролю в финансово-бюджетной сфере в 2025 году, перспективы осуществления внутреннего государственного финансового контроля в 2026 году</w:t>
      </w:r>
    </w:p>
    <w:p w:rsidR="00173AD1" w:rsidRDefault="00173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AD1" w:rsidRDefault="00173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Планом контрольных мероприятий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правления Федерального казначейства по Тюменской области (далее – Управление) предусмотрено проведение 20 контрольных мероприятий, в том числе по 14 централизованным заданиям и 6 контрольным мероприятиям по собственным предложениям Управления. </w:t>
      </w: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Управлением проведено 36 ревизий и проверок, в том числе 27 проверок по централизованным заданиям, 7 проверок по 2 разделу плана. </w:t>
      </w: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проведено 6 обследований и 6 встречных проверок, проведенных по поручению Федерального казначейства и в рамках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роведения собственных контрольных мероприятий. </w:t>
      </w: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Сотрудники Управления приняли участие в 4 контрольных мероприятиях, проводимых центральным аппаратом Федерального казначейства. </w:t>
      </w: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проверенных средств составил 30 317,31 млн. рублей. </w:t>
      </w:r>
    </w:p>
    <w:p w:rsidR="00173AD1" w:rsidRDefault="00C832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Проведенными к</w:t>
      </w:r>
      <w:r>
        <w:rPr>
          <w:rFonts w:ascii="Times New Roman" w:hAnsi="Times New Roman" w:cs="Times New Roman"/>
          <w:sz w:val="28"/>
          <w:szCs w:val="28"/>
        </w:rPr>
        <w:t xml:space="preserve">онтрольными мероприятиями установлены отдельные нарушения требований законодательства Российской Федерации и иных нормативных актов.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ревизий и проверок, которыми выявлены нарушения, составило 34 проверки (ревизии), что составляет 94,4 % от прове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денных проверок. </w:t>
      </w:r>
    </w:p>
    <w:p w:rsidR="00173AD1" w:rsidRDefault="00C832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проведенных контрольных мероприятий объектам контроля направлено 33 представления, что составляет 97 % от общего числа результативных проверок. Объектами контроля исполнено 32 представления, что составляет 97 % от общего 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 вынесенных представлений. </w:t>
      </w:r>
    </w:p>
    <w:p w:rsidR="00173AD1" w:rsidRDefault="00173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AD1" w:rsidRDefault="00C83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исполняется 10 лет как Федеральному казначейству и его территориальным органам переданы полномочия по осуществлению внутреннего государственного финансового контроля. </w:t>
      </w:r>
    </w:p>
    <w:p w:rsidR="00173AD1" w:rsidRDefault="00C83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прошедший с 2016 года, кардинальн</w:t>
      </w:r>
      <w:r>
        <w:rPr>
          <w:rFonts w:ascii="Times New Roman" w:hAnsi="Times New Roman" w:cs="Times New Roman"/>
          <w:sz w:val="28"/>
          <w:szCs w:val="28"/>
        </w:rPr>
        <w:t>о изменился подход к осуществлению контрольной деятельности.</w:t>
      </w:r>
    </w:p>
    <w:p w:rsidR="00173AD1" w:rsidRDefault="00C832D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Правительством Российской Федерации утверждены 7 федеральных стандартов, которыми регламентируется контрольная деятельность органов внутреннего государственного (муниципального) финан</w:t>
      </w:r>
      <w:r>
        <w:rPr>
          <w:rFonts w:ascii="Times New Roman" w:hAnsi="Times New Roman" w:cs="Times New Roman"/>
          <w:sz w:val="28"/>
          <w:szCs w:val="28"/>
        </w:rPr>
        <w:t>сового контроля.</w:t>
      </w:r>
    </w:p>
    <w:p w:rsidR="00173AD1" w:rsidRDefault="00C83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Казначейством России разработана и с 2023 года внедрена в работу Подсистема финансового контроля, являющаяся составной частью Государственной интегрированной информационной системы управления общественными финансами «Электронный бюджет», к</w:t>
      </w:r>
      <w:r>
        <w:rPr>
          <w:rFonts w:ascii="Times New Roman" w:hAnsi="Times New Roman" w:cs="Times New Roman"/>
          <w:sz w:val="28"/>
          <w:szCs w:val="28"/>
        </w:rPr>
        <w:t xml:space="preserve">оторая при осуществлении полномочий по контролю в финансово-бюджетной сфере охватывает все этапы контрольной деятельности: от </w:t>
      </w:r>
      <w:r>
        <w:rPr>
          <w:rFonts w:ascii="Times New Roman" w:hAnsi="Times New Roman" w:cs="Times New Roman"/>
          <w:sz w:val="28"/>
          <w:szCs w:val="28"/>
        </w:rPr>
        <w:lastRenderedPageBreak/>
        <w:t>этапа планирования до этапа формирования отчетности о результатах контрольных мероприятий.</w:t>
      </w:r>
    </w:p>
    <w:p w:rsidR="00173AD1" w:rsidRDefault="00C832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Планом контрольных мероприятий Управлен</w:t>
      </w:r>
      <w:r>
        <w:rPr>
          <w:rFonts w:ascii="Times New Roman" w:hAnsi="Times New Roman" w:cs="Times New Roman"/>
          <w:sz w:val="28"/>
          <w:szCs w:val="28"/>
        </w:rPr>
        <w:t xml:space="preserve">ия на 2026 год предусмотрено проведение 25 контрольных мероприятий, в том числе по 20 централизованным заданиям, и по 5 проверкам по предложениям ТОФК. 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Тематика проверок разнообразна и захватывает большой круг вопросов: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проверка соблюдения условий пре</w:t>
      </w:r>
      <w:r>
        <w:rPr>
          <w:rFonts w:ascii="Times New Roman" w:hAnsi="Times New Roman" w:cs="Times New Roman"/>
          <w:sz w:val="28"/>
          <w:szCs w:val="28"/>
        </w:rPr>
        <w:t>доставления и использования бюджетных кредитов, в том числе за счет временно свободных средств единого счета федерального бюджета, на финансовое обеспечение реализации инфраструктурных проектов, условий соглашений об их предоставлении, условий контрактов (</w:t>
      </w:r>
      <w:r>
        <w:rPr>
          <w:rFonts w:ascii="Times New Roman" w:hAnsi="Times New Roman" w:cs="Times New Roman"/>
          <w:sz w:val="28"/>
          <w:szCs w:val="28"/>
        </w:rPr>
        <w:t>договоров, соглашений), источником финансового обеспечения которых являются указанные бюджетные кредиты;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проверки использования средств федерального бюджета по национальным проектам «Инфраструктура для жизни», «Жилье и городская среда»</w:t>
      </w:r>
      <w:r>
        <w:rPr>
          <w:rFonts w:ascii="Times New Roman" w:hAnsi="Times New Roman" w:cs="Times New Roman"/>
          <w:sz w:val="28"/>
          <w:szCs w:val="28"/>
        </w:rPr>
        <w:t xml:space="preserve"> и «Здравоохранение»;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</w:t>
      </w:r>
      <w:r>
        <w:rPr>
          <w:rFonts w:ascii="Times New Roman" w:hAnsi="Times New Roman" w:cs="Times New Roman"/>
          <w:sz w:val="28"/>
          <w:szCs w:val="28"/>
        </w:rPr>
        <w:t>монта, у региональных операторов;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проверка использования средств государственного внебюджетного фонда на обеспечение инвалидов техническими средствами реабилитации;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проверка деятельности организаций в сфере теплоснабжения в части реализации инвестици</w:t>
      </w:r>
      <w:r>
        <w:rPr>
          <w:rFonts w:ascii="Times New Roman" w:hAnsi="Times New Roman" w:cs="Times New Roman"/>
          <w:sz w:val="28"/>
          <w:szCs w:val="28"/>
        </w:rPr>
        <w:t>онных программ регулируемых организаций и концессионных соглашений;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проверка осуществления расходов федерального бюджета на реализацию мероприятий федерального проекта «Создание сети современных кампусов»;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оценка экономической эффективности финансовы</w:t>
      </w:r>
      <w:r>
        <w:rPr>
          <w:rFonts w:ascii="Times New Roman" w:hAnsi="Times New Roman" w:cs="Times New Roman"/>
          <w:sz w:val="28"/>
          <w:szCs w:val="28"/>
        </w:rPr>
        <w:t xml:space="preserve">х средств, направленных на подключение газоиспользующего оборудования к сетям газораспределения 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газификации;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ревизии (проверки) финансово-хозяйственной деятельности учреждений правоохранительной системы, высшего учебного заведен</w:t>
      </w:r>
      <w:r>
        <w:rPr>
          <w:rFonts w:ascii="Times New Roman" w:hAnsi="Times New Roman" w:cs="Times New Roman"/>
          <w:sz w:val="28"/>
          <w:szCs w:val="28"/>
        </w:rPr>
        <w:t>ия и территориального органа исполнительной власти федерального органа исполнительной власти.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ревизоров Управления впереди предстоит большая кропотливая работа, результатом которой будет предупреждение нарушений при расходовании средств федерального бюд</w:t>
      </w:r>
      <w:r>
        <w:rPr>
          <w:rFonts w:ascii="Times New Roman" w:hAnsi="Times New Roman" w:cs="Times New Roman"/>
          <w:sz w:val="28"/>
          <w:szCs w:val="28"/>
        </w:rPr>
        <w:t>жета.</w:t>
      </w:r>
    </w:p>
    <w:p w:rsidR="00173AD1" w:rsidRDefault="00173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AD1" w:rsidRDefault="00173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организационно-аналитического отдела  </w:t>
      </w:r>
    </w:p>
    <w:p w:rsidR="00173AD1" w:rsidRDefault="00C83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УФК по Тюменской области                                                                     С.А. Колмакова </w:t>
      </w:r>
    </w:p>
    <w:p w:rsidR="00173AD1" w:rsidRDefault="00173A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3AD1">
      <w:headerReference w:type="default" r:id="rId8"/>
      <w:headerReference w:type="first" r:id="rId9"/>
      <w:pgSz w:w="11906" w:h="16838"/>
      <w:pgMar w:top="1134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AD1" w:rsidRDefault="00C832DF">
      <w:pPr>
        <w:spacing w:after="0" w:line="240" w:lineRule="auto"/>
      </w:pPr>
      <w:r>
        <w:separator/>
      </w:r>
    </w:p>
  </w:endnote>
  <w:endnote w:type="continuationSeparator" w:id="0">
    <w:p w:rsidR="00173AD1" w:rsidRDefault="00C83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AD1" w:rsidRDefault="00C832DF">
      <w:pPr>
        <w:spacing w:after="0" w:line="240" w:lineRule="auto"/>
      </w:pPr>
      <w:r>
        <w:separator/>
      </w:r>
    </w:p>
  </w:footnote>
  <w:footnote w:type="continuationSeparator" w:id="0">
    <w:p w:rsidR="00173AD1" w:rsidRDefault="00C83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964329"/>
      <w:docPartObj>
        <w:docPartGallery w:val="Page Numbers (Top of Page)"/>
        <w:docPartUnique/>
      </w:docPartObj>
    </w:sdtPr>
    <w:sdtEndPr/>
    <w:sdtContent>
      <w:p w:rsidR="00173AD1" w:rsidRDefault="00C832DF">
        <w:pPr>
          <w:pStyle w:val="af6"/>
          <w:jc w:val="center"/>
        </w:pPr>
        <w:r>
          <w:fldChar w:fldCharType="begin"/>
        </w:r>
        <w:r>
          <w:instrText>PAGE   \* MERGEFORM</w:instrText>
        </w:r>
        <w:r>
          <w:instrText>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73AD1" w:rsidRDefault="00C832DF">
    <w:pPr>
      <w:pStyle w:val="af6"/>
    </w:pPr>
    <w:r>
      <w:rPr>
        <w:noProof/>
        <w:lang w:eastAsia="ru-RU"/>
      </w:rPr>
      <mc:AlternateContent>
        <mc:Choice Requires="wpg">
          <w:drawing>
            <wp:inline distT="0" distB="0" distL="0" distR="0">
              <wp:extent cx="1628775" cy="541655"/>
              <wp:effectExtent l="0" t="0" r="9525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707586" cy="56786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28.25pt;height:42.65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D1" w:rsidRDefault="00C832DF">
    <w:pPr>
      <w:pStyle w:val="af6"/>
    </w:pPr>
    <w:r>
      <w:rPr>
        <w:noProof/>
        <w:lang w:eastAsia="ru-RU"/>
      </w:rPr>
      <mc:AlternateContent>
        <mc:Choice Requires="wpg">
          <w:drawing>
            <wp:inline distT="0" distB="0" distL="0" distR="0">
              <wp:extent cx="1600200" cy="552314"/>
              <wp:effectExtent l="0" t="0" r="0" b="635"/>
              <wp:docPr id="2" name="Рисунок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Рисунок 15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35062" cy="56434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126.00pt;height:43.49pt;mso-wrap-distance-left:0.00pt;mso-wrap-distance-top:0.00pt;mso-wrap-distance-right:0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970804"/>
    <w:multiLevelType w:val="hybridMultilevel"/>
    <w:tmpl w:val="82EC1612"/>
    <w:lvl w:ilvl="0" w:tplc="14602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DC37F2">
      <w:start w:val="1"/>
      <w:numFmt w:val="lowerLetter"/>
      <w:lvlText w:val="%2."/>
      <w:lvlJc w:val="left"/>
      <w:pPr>
        <w:ind w:left="1788" w:hanging="360"/>
      </w:pPr>
    </w:lvl>
    <w:lvl w:ilvl="2" w:tplc="C5F4D562">
      <w:start w:val="1"/>
      <w:numFmt w:val="lowerRoman"/>
      <w:lvlText w:val="%3."/>
      <w:lvlJc w:val="right"/>
      <w:pPr>
        <w:ind w:left="2508" w:hanging="180"/>
      </w:pPr>
    </w:lvl>
    <w:lvl w:ilvl="3" w:tplc="91803F84">
      <w:start w:val="1"/>
      <w:numFmt w:val="decimal"/>
      <w:lvlText w:val="%4."/>
      <w:lvlJc w:val="left"/>
      <w:pPr>
        <w:ind w:left="3228" w:hanging="360"/>
      </w:pPr>
    </w:lvl>
    <w:lvl w:ilvl="4" w:tplc="39560DD2">
      <w:start w:val="1"/>
      <w:numFmt w:val="lowerLetter"/>
      <w:lvlText w:val="%5."/>
      <w:lvlJc w:val="left"/>
      <w:pPr>
        <w:ind w:left="3948" w:hanging="360"/>
      </w:pPr>
    </w:lvl>
    <w:lvl w:ilvl="5" w:tplc="88FA5004">
      <w:start w:val="1"/>
      <w:numFmt w:val="lowerRoman"/>
      <w:lvlText w:val="%6."/>
      <w:lvlJc w:val="right"/>
      <w:pPr>
        <w:ind w:left="4668" w:hanging="180"/>
      </w:pPr>
    </w:lvl>
    <w:lvl w:ilvl="6" w:tplc="2AB4B422">
      <w:start w:val="1"/>
      <w:numFmt w:val="decimal"/>
      <w:lvlText w:val="%7."/>
      <w:lvlJc w:val="left"/>
      <w:pPr>
        <w:ind w:left="5388" w:hanging="360"/>
      </w:pPr>
    </w:lvl>
    <w:lvl w:ilvl="7" w:tplc="137AA3F4">
      <w:start w:val="1"/>
      <w:numFmt w:val="lowerLetter"/>
      <w:lvlText w:val="%8."/>
      <w:lvlJc w:val="left"/>
      <w:pPr>
        <w:ind w:left="6108" w:hanging="360"/>
      </w:pPr>
    </w:lvl>
    <w:lvl w:ilvl="8" w:tplc="63067A4E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3A2AC5"/>
    <w:multiLevelType w:val="hybridMultilevel"/>
    <w:tmpl w:val="F208D21C"/>
    <w:lvl w:ilvl="0" w:tplc="1D665D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652D836">
      <w:start w:val="1"/>
      <w:numFmt w:val="lowerLetter"/>
      <w:lvlText w:val="%2."/>
      <w:lvlJc w:val="left"/>
      <w:pPr>
        <w:ind w:left="1788" w:hanging="360"/>
      </w:pPr>
    </w:lvl>
    <w:lvl w:ilvl="2" w:tplc="0F0A4C0A">
      <w:start w:val="1"/>
      <w:numFmt w:val="lowerRoman"/>
      <w:lvlText w:val="%3."/>
      <w:lvlJc w:val="right"/>
      <w:pPr>
        <w:ind w:left="2508" w:hanging="180"/>
      </w:pPr>
    </w:lvl>
    <w:lvl w:ilvl="3" w:tplc="9328049A">
      <w:start w:val="1"/>
      <w:numFmt w:val="decimal"/>
      <w:lvlText w:val="%4."/>
      <w:lvlJc w:val="left"/>
      <w:pPr>
        <w:ind w:left="3228" w:hanging="360"/>
      </w:pPr>
    </w:lvl>
    <w:lvl w:ilvl="4" w:tplc="DC1817F0">
      <w:start w:val="1"/>
      <w:numFmt w:val="lowerLetter"/>
      <w:lvlText w:val="%5."/>
      <w:lvlJc w:val="left"/>
      <w:pPr>
        <w:ind w:left="3948" w:hanging="360"/>
      </w:pPr>
    </w:lvl>
    <w:lvl w:ilvl="5" w:tplc="BF268A9C">
      <w:start w:val="1"/>
      <w:numFmt w:val="lowerRoman"/>
      <w:lvlText w:val="%6."/>
      <w:lvlJc w:val="right"/>
      <w:pPr>
        <w:ind w:left="4668" w:hanging="180"/>
      </w:pPr>
    </w:lvl>
    <w:lvl w:ilvl="6" w:tplc="04C67D56">
      <w:start w:val="1"/>
      <w:numFmt w:val="decimal"/>
      <w:lvlText w:val="%7."/>
      <w:lvlJc w:val="left"/>
      <w:pPr>
        <w:ind w:left="5388" w:hanging="360"/>
      </w:pPr>
    </w:lvl>
    <w:lvl w:ilvl="7" w:tplc="BB96E9D4">
      <w:start w:val="1"/>
      <w:numFmt w:val="lowerLetter"/>
      <w:lvlText w:val="%8."/>
      <w:lvlJc w:val="left"/>
      <w:pPr>
        <w:ind w:left="6108" w:hanging="360"/>
      </w:pPr>
    </w:lvl>
    <w:lvl w:ilvl="8" w:tplc="E650179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D1"/>
    <w:rsid w:val="00173AD1"/>
    <w:rsid w:val="00C8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0646C6-FC78-4C6E-A760-A4452E45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8AF92-9C80-4481-94CD-E7E2857E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Колмакова Светлана Анатольевна</cp:lastModifiedBy>
  <cp:revision>2</cp:revision>
  <dcterms:created xsi:type="dcterms:W3CDTF">2026-03-06T08:11:00Z</dcterms:created>
  <dcterms:modified xsi:type="dcterms:W3CDTF">2026-03-06T08:11:00Z</dcterms:modified>
</cp:coreProperties>
</file>