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Особенности перечисления средств на расчетные счета при казначейском сопровождении в 2026 году</w:t>
      </w:r>
      <w:r>
        <w:rPr>
          <w:sz w:val="28"/>
          <w:szCs w:val="28"/>
        </w:rPr>
      </w:r>
    </w:p>
    <w:p>
      <w:pPr>
        <w:pStyle w:val="704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0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 1 января 2026 года вступают в силу изменения, внесенные П</w:t>
      </w:r>
      <w:r>
        <w:rPr>
          <w:sz w:val="28"/>
          <w:szCs w:val="28"/>
        </w:rPr>
        <w:t xml:space="preserve">остановлением Правительства Российской Федерации от 17.12.2025 № 2053 </w:t>
      </w:r>
      <w:r>
        <w:rPr>
          <w:sz w:val="28"/>
          <w:szCs w:val="28"/>
        </w:rPr>
        <w:t xml:space="preserve">в Постановление от 11</w:t>
      </w:r>
      <w:r>
        <w:rPr>
          <w:sz w:val="28"/>
          <w:szCs w:val="28"/>
        </w:rPr>
        <w:t xml:space="preserve">.12.2024 </w:t>
      </w:r>
      <w:r>
        <w:rPr>
          <w:sz w:val="28"/>
          <w:szCs w:val="28"/>
        </w:rPr>
        <w:t xml:space="preserve">N 1752 «О порядке перечисления в 2025 году средств, подлежащих казначейскому сопровождению, на расчетные счета, открытые в кредитных организациях»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Документ распространяет установленный порядок на 2026 год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но при этом </w:t>
      </w:r>
      <w:r>
        <w:rPr>
          <w:sz w:val="28"/>
          <w:szCs w:val="28"/>
        </w:rPr>
        <w:t xml:space="preserve">уточняет его в части перечня целевых средств, к которым он применяется,</w:t>
      </w:r>
      <w:r>
        <w:rPr>
          <w:sz w:val="28"/>
          <w:szCs w:val="28"/>
        </w:rPr>
        <w:t xml:space="preserve"> а также </w:t>
      </w:r>
      <w:r>
        <w:rPr>
          <w:sz w:val="28"/>
          <w:szCs w:val="28"/>
        </w:rPr>
        <w:t xml:space="preserve">детализирует процедуры контроля со стороны Федерального казначейства и </w:t>
      </w:r>
      <w:r>
        <w:rPr>
          <w:sz w:val="28"/>
          <w:szCs w:val="28"/>
        </w:rPr>
        <w:t xml:space="preserve">устанавливает определенные ограничения при перечислении авансовых платежей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0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2026 году д</w:t>
      </w:r>
      <w:r>
        <w:rPr>
          <w:sz w:val="28"/>
          <w:szCs w:val="28"/>
        </w:rPr>
        <w:t xml:space="preserve">анный порядок </w:t>
      </w:r>
      <w:r>
        <w:rPr>
          <w:sz w:val="28"/>
          <w:szCs w:val="28"/>
        </w:rPr>
        <w:t xml:space="preserve">не применяется при </w:t>
      </w:r>
      <w:r>
        <w:rPr>
          <w:sz w:val="28"/>
          <w:szCs w:val="28"/>
        </w:rPr>
        <w:t xml:space="preserve">осуществлении </w:t>
      </w:r>
      <w:r>
        <w:rPr>
          <w:sz w:val="28"/>
          <w:szCs w:val="28"/>
        </w:rPr>
        <w:t xml:space="preserve">казначейск</w:t>
      </w:r>
      <w:r>
        <w:rPr>
          <w:sz w:val="28"/>
          <w:szCs w:val="28"/>
        </w:rPr>
        <w:t xml:space="preserve">ого</w:t>
      </w:r>
      <w:r>
        <w:rPr>
          <w:sz w:val="28"/>
          <w:szCs w:val="28"/>
        </w:rPr>
        <w:t xml:space="preserve"> сопровождени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средств, источником финансового обеспечения ко</w:t>
      </w:r>
      <w:r>
        <w:rPr>
          <w:sz w:val="28"/>
          <w:szCs w:val="28"/>
        </w:rPr>
        <w:t xml:space="preserve">торых являются бюджетные кредиты, предоставляемые из федерального бюджета бюджету субъекта Российской Федерации, а именно: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0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бюджетные кредиты на реализацию инфраструктурных проектов, правилами предоставления которых предусмотрены условия об осуществлении казначейского сопровождения;</w:t>
      </w:r>
      <w:r>
        <w:rPr>
          <w:sz w:val="28"/>
          <w:szCs w:val="28"/>
        </w:rPr>
      </w:r>
    </w:p>
    <w:p>
      <w:pPr>
        <w:pStyle w:val="70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бюджетные кредиты за счет временно свободных ср</w:t>
      </w:r>
      <w:r>
        <w:rPr>
          <w:sz w:val="28"/>
          <w:szCs w:val="28"/>
        </w:rPr>
        <w:t xml:space="preserve">едств единого счета федерального бюджета сроком до 15 лет под 3 % годовых с правом досрочного погашения и бюджетные кредиты за счет временно свободных средств единого счета федерального бюджета на финансовое обеспечение реализации инфраструктурных проектов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0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Перечень строительных материалов и оборудования, вкл</w:t>
      </w:r>
      <w:r>
        <w:rPr>
          <w:sz w:val="28"/>
          <w:szCs w:val="28"/>
        </w:rPr>
        <w:t xml:space="preserve">юченных в проектную документацию, изложен в новой редакции. Предусмотрена его проверка территориальным органом Федерального казначейства</w:t>
      </w:r>
      <w:r>
        <w:rPr>
          <w:sz w:val="28"/>
          <w:szCs w:val="28"/>
        </w:rPr>
        <w:t xml:space="preserve"> (далее – ТОФК)</w:t>
      </w:r>
      <w:r>
        <w:rPr>
          <w:sz w:val="28"/>
          <w:szCs w:val="28"/>
        </w:rPr>
        <w:t xml:space="preserve"> на соблюдение порядка утверждения и соответствие реквизитов </w:t>
      </w:r>
      <w:r>
        <w:rPr>
          <w:sz w:val="28"/>
          <w:szCs w:val="28"/>
        </w:rPr>
        <w:t xml:space="preserve">контракта (договора), по результатам которой документ не позднее следующего рабочего в случае принятия перенаправляется в ТОФК по месту открытия лицевого счета заказчику, либо в случае отказа исполнителю </w:t>
      </w:r>
      <w:r>
        <w:rPr>
          <w:sz w:val="28"/>
          <w:szCs w:val="28"/>
        </w:rPr>
        <w:t xml:space="preserve">должно быть направлено</w:t>
      </w:r>
      <w:r>
        <w:rPr>
          <w:sz w:val="28"/>
          <w:szCs w:val="28"/>
        </w:rPr>
        <w:t xml:space="preserve"> уведомление с указанием причины отказа.</w:t>
      </w:r>
      <w:r>
        <w:rPr>
          <w:sz w:val="28"/>
          <w:szCs w:val="28"/>
        </w:rPr>
      </w:r>
    </w:p>
    <w:p>
      <w:pPr>
        <w:pStyle w:val="70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становлены особенности перечисления авансовых платежей по контрактам (договорам), заключаемым в целях приобретения строительных материалов и оборудования</w:t>
      </w:r>
      <w:r>
        <w:rPr>
          <w:sz w:val="28"/>
          <w:szCs w:val="28"/>
        </w:rPr>
        <w:t xml:space="preserve">, включенных в Перечень, утвержденный Минстроем России и учтенных в проектной документации на строительство, реконструкцию, капитальный ремонт объектов капстроительства. Перечисление авансовых платежей </w:t>
      </w:r>
      <w:r>
        <w:rPr>
          <w:sz w:val="28"/>
          <w:szCs w:val="28"/>
        </w:rPr>
        <w:t xml:space="preserve">по таким контрактам (договорам) допускается только при условии приобретения строительных материалов и оборудования на организованных торгах или посредством осуществления закупки в электронной форме на электронной площадке, информация о которых размещена в </w:t>
      </w:r>
      <w:r>
        <w:rPr>
          <w:sz w:val="28"/>
          <w:szCs w:val="28"/>
        </w:rPr>
        <w:t xml:space="preserve">федеральной государственной </w:t>
      </w:r>
      <w:r>
        <w:rPr>
          <w:sz w:val="28"/>
          <w:szCs w:val="28"/>
        </w:rPr>
        <w:t xml:space="preserve">информационной системе ценообразования</w:t>
      </w:r>
      <w:r>
        <w:rPr>
          <w:sz w:val="28"/>
          <w:szCs w:val="28"/>
        </w:rPr>
        <w:t xml:space="preserve"> в строительстве (</w:t>
      </w:r>
      <w:r>
        <w:rPr>
          <w:sz w:val="28"/>
          <w:szCs w:val="28"/>
        </w:rPr>
        <w:t xml:space="preserve">ФГИС ЦС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соответствии с</w:t>
      </w:r>
      <w:r>
        <w:rPr>
          <w:bCs/>
          <w:sz w:val="28"/>
          <w:szCs w:val="28"/>
        </w:rPr>
        <w:t xml:space="preserve">о</w:t>
      </w:r>
      <w:r>
        <w:rPr>
          <w:bCs/>
          <w:sz w:val="28"/>
          <w:szCs w:val="28"/>
        </w:rPr>
        <w:t xml:space="preserve"> статьи 57.2 Градостроительного кодекса РФ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04"/>
        <w:jc w:val="both"/>
        <w:spacing w:before="12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04"/>
        <w:jc w:val="both"/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Отдел казначейского сопровождения УФК по Тюменской области</w:t>
      </w:r>
      <w:r>
        <w:rPr>
          <w:sz w:val="28"/>
          <w:szCs w:val="28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Segoe UI">
    <w:panose1 w:val="020B0502040504020204"/>
  </w:font>
  <w:font w:name="Arial, sans-serif">
    <w:panose1 w:val="020B0604020202020204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9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1"/>
      <w:rPr>
        <w:rStyle w:val="712"/>
      </w:rPr>
      <w:framePr w:wrap="around" w:vAnchor="text" w:hAnchor="margin" w:xAlign="center" w:y="1"/>
    </w:pPr>
    <w:r>
      <w:rPr>
        <w:rStyle w:val="712"/>
      </w:rPr>
      <w:fldChar w:fldCharType="begin"/>
    </w:r>
    <w:r>
      <w:rPr>
        <w:rStyle w:val="712"/>
      </w:rPr>
      <w:instrText xml:space="preserve">PAGE  </w:instrText>
    </w:r>
    <w:r>
      <w:rPr>
        <w:rStyle w:val="712"/>
      </w:rPr>
      <w:fldChar w:fldCharType="separate"/>
    </w:r>
    <w:r>
      <w:rPr>
        <w:rStyle w:val="712"/>
      </w:rPr>
      <w:t xml:space="preserve">2</w:t>
    </w:r>
    <w:r>
      <w:rPr>
        <w:rStyle w:val="712"/>
      </w:rPr>
      <w:fldChar w:fldCharType="end"/>
    </w:r>
    <w:r>
      <w:rPr>
        <w:rStyle w:val="712"/>
      </w:rPr>
    </w:r>
    <w:r>
      <w:rPr>
        <w:rStyle w:val="712"/>
      </w:rPr>
    </w:r>
  </w:p>
  <w:p>
    <w:pPr>
      <w:pStyle w:val="71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1"/>
      <w:rPr>
        <w:rStyle w:val="712"/>
      </w:rPr>
      <w:framePr w:wrap="around" w:vAnchor="text" w:hAnchor="margin" w:xAlign="center" w:y="1"/>
    </w:pPr>
    <w:r>
      <w:rPr>
        <w:rStyle w:val="712"/>
      </w:rPr>
      <w:fldChar w:fldCharType="begin"/>
    </w:r>
    <w:r>
      <w:rPr>
        <w:rStyle w:val="712"/>
      </w:rPr>
      <w:instrText xml:space="preserve">PAGE  </w:instrText>
    </w:r>
    <w:r>
      <w:rPr>
        <w:rStyle w:val="712"/>
      </w:rPr>
      <w:fldChar w:fldCharType="end"/>
    </w:r>
    <w:r>
      <w:rPr>
        <w:rStyle w:val="712"/>
      </w:rPr>
    </w:r>
    <w:r>
      <w:rPr>
        <w:rStyle w:val="712"/>
      </w:rPr>
    </w:r>
  </w:p>
  <w:p>
    <w:pPr>
      <w:pStyle w:val="71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  <w:tabs>
          <w:tab w:val="num" w:pos="357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04"/>
    <w:next w:val="704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04"/>
    <w:next w:val="704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04"/>
    <w:next w:val="704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04"/>
    <w:next w:val="704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04"/>
    <w:next w:val="704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04"/>
    <w:next w:val="704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04"/>
    <w:next w:val="704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04"/>
    <w:next w:val="704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04"/>
    <w:next w:val="704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04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04"/>
    <w:next w:val="704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704"/>
    <w:next w:val="704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704"/>
    <w:next w:val="704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04"/>
    <w:next w:val="704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704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704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704"/>
    <w:next w:val="704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704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704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704"/>
    <w:next w:val="704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04"/>
    <w:next w:val="704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04"/>
    <w:next w:val="704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04"/>
    <w:next w:val="704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04"/>
    <w:next w:val="704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04"/>
    <w:next w:val="704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04"/>
    <w:next w:val="704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04"/>
    <w:next w:val="704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04"/>
    <w:next w:val="704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04"/>
    <w:next w:val="704"/>
    <w:uiPriority w:val="99"/>
    <w:unhideWhenUsed/>
    <w:pPr>
      <w:spacing w:after="0" w:afterAutospacing="0"/>
    </w:pPr>
  </w:style>
  <w:style w:type="paragraph" w:styleId="704" w:default="1">
    <w:name w:val="Normal"/>
    <w:next w:val="704"/>
    <w:link w:val="704"/>
    <w:qFormat/>
    <w:rPr>
      <w:sz w:val="24"/>
      <w:szCs w:val="24"/>
      <w:lang w:val="ru-RU" w:eastAsia="ru-RU" w:bidi="ar-SA"/>
    </w:rPr>
  </w:style>
  <w:style w:type="paragraph" w:styleId="705">
    <w:name w:val="Заголовок 1"/>
    <w:basedOn w:val="704"/>
    <w:next w:val="704"/>
    <w:link w:val="704"/>
    <w:qFormat/>
    <w:pPr>
      <w:jc w:val="center"/>
      <w:spacing w:before="108" w:after="108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styleId="706">
    <w:name w:val="Основной шрифт абзаца"/>
    <w:next w:val="706"/>
    <w:link w:val="704"/>
    <w:semiHidden/>
  </w:style>
  <w:style w:type="table" w:styleId="707">
    <w:name w:val="Обычная таблица"/>
    <w:next w:val="707"/>
    <w:link w:val="704"/>
    <w:semiHidden/>
    <w:tblPr/>
  </w:style>
  <w:style w:type="numbering" w:styleId="708">
    <w:name w:val="Нет списка"/>
    <w:next w:val="708"/>
    <w:link w:val="704"/>
    <w:semiHidden/>
  </w:style>
  <w:style w:type="paragraph" w:styleId="709">
    <w:name w:val="Основной текст с отступом"/>
    <w:basedOn w:val="704"/>
    <w:next w:val="709"/>
    <w:link w:val="704"/>
    <w:pPr>
      <w:ind w:firstLine="709"/>
      <w:jc w:val="both"/>
    </w:pPr>
  </w:style>
  <w:style w:type="table" w:styleId="710">
    <w:name w:val="Сетка таблицы"/>
    <w:basedOn w:val="707"/>
    <w:next w:val="710"/>
    <w:link w:val="704"/>
    <w:pPr>
      <w:widowControl w:val="off"/>
    </w:pPr>
    <w:tblPr/>
  </w:style>
  <w:style w:type="paragraph" w:styleId="711">
    <w:name w:val="Верхний колонтитул"/>
    <w:basedOn w:val="704"/>
    <w:next w:val="711"/>
    <w:link w:val="704"/>
    <w:pPr>
      <w:tabs>
        <w:tab w:val="center" w:pos="4677" w:leader="none"/>
        <w:tab w:val="right" w:pos="9355" w:leader="none"/>
      </w:tabs>
    </w:pPr>
  </w:style>
  <w:style w:type="character" w:styleId="712">
    <w:name w:val="Номер страницы"/>
    <w:basedOn w:val="706"/>
    <w:next w:val="712"/>
    <w:link w:val="704"/>
  </w:style>
  <w:style w:type="character" w:styleId="713">
    <w:name w:val="Цветовое выделение"/>
    <w:next w:val="713"/>
    <w:link w:val="704"/>
    <w:rPr>
      <w:b/>
      <w:bCs/>
      <w:color w:val="000080"/>
      <w:sz w:val="20"/>
      <w:szCs w:val="20"/>
    </w:rPr>
  </w:style>
  <w:style w:type="paragraph" w:styleId="714">
    <w:name w:val="Таблицы (моноширинный)"/>
    <w:basedOn w:val="704"/>
    <w:next w:val="704"/>
    <w:link w:val="704"/>
    <w:pPr>
      <w:jc w:val="both"/>
      <w:widowControl w:val="off"/>
    </w:pPr>
    <w:rPr>
      <w:rFonts w:ascii="Courier New" w:hAnsi="Courier New" w:cs="Courier New"/>
      <w:sz w:val="20"/>
      <w:szCs w:val="20"/>
    </w:rPr>
  </w:style>
  <w:style w:type="paragraph" w:styleId="715">
    <w:name w:val="Название объекта"/>
    <w:basedOn w:val="704"/>
    <w:next w:val="704"/>
    <w:link w:val="704"/>
    <w:qFormat/>
    <w:pPr>
      <w:jc w:val="center"/>
    </w:pPr>
    <w:rPr>
      <w:b/>
      <w:bCs/>
      <w:sz w:val="26"/>
    </w:rPr>
  </w:style>
  <w:style w:type="paragraph" w:styleId="716">
    <w:name w:val="Основной текст"/>
    <w:basedOn w:val="704"/>
    <w:next w:val="716"/>
    <w:link w:val="704"/>
    <w:pPr>
      <w:spacing w:after="120"/>
      <w:widowControl w:val="off"/>
    </w:pPr>
    <w:rPr>
      <w:sz w:val="20"/>
      <w:szCs w:val="20"/>
    </w:rPr>
  </w:style>
  <w:style w:type="paragraph" w:styleId="717">
    <w:name w:val="Основной текст с отступом 3"/>
    <w:basedOn w:val="704"/>
    <w:next w:val="717"/>
    <w:link w:val="704"/>
    <w:pPr>
      <w:ind w:left="283"/>
      <w:spacing w:after="120"/>
      <w:widowControl w:val="off"/>
    </w:pPr>
    <w:rPr>
      <w:sz w:val="16"/>
      <w:szCs w:val="16"/>
    </w:rPr>
  </w:style>
  <w:style w:type="paragraph" w:styleId="718">
    <w:name w:val="Цитата"/>
    <w:basedOn w:val="704"/>
    <w:next w:val="718"/>
    <w:link w:val="704"/>
    <w:pPr>
      <w:ind w:left="283" w:right="34" w:hanging="259"/>
      <w:jc w:val="both"/>
      <w:spacing w:before="14" w:line="264" w:lineRule="exact"/>
      <w:shd w:val="clear" w:color="auto" w:fill="ffffff"/>
      <w:widowControl w:val="off"/>
    </w:pPr>
    <w:rPr>
      <w:color w:val="000000"/>
      <w:spacing w:val="8"/>
      <w:szCs w:val="25"/>
    </w:rPr>
  </w:style>
  <w:style w:type="paragraph" w:styleId="719">
    <w:name w:val="Нижний колонтитул"/>
    <w:basedOn w:val="704"/>
    <w:next w:val="719"/>
    <w:link w:val="704"/>
    <w:pPr>
      <w:widowControl w:val="off"/>
      <w:tabs>
        <w:tab w:val="center" w:pos="4677" w:leader="none"/>
        <w:tab w:val="right" w:pos="9355" w:leader="none"/>
      </w:tabs>
    </w:pPr>
    <w:rPr>
      <w:sz w:val="20"/>
      <w:szCs w:val="20"/>
    </w:rPr>
  </w:style>
  <w:style w:type="paragraph" w:styleId="720">
    <w:name w:val="Основной текст 2"/>
    <w:basedOn w:val="704"/>
    <w:next w:val="720"/>
    <w:link w:val="704"/>
    <w:pPr>
      <w:spacing w:after="120" w:line="480" w:lineRule="auto"/>
    </w:pPr>
  </w:style>
  <w:style w:type="paragraph" w:styleId="721">
    <w:name w:val="ConsPlusNormal"/>
    <w:next w:val="721"/>
    <w:link w:val="704"/>
    <w:pPr>
      <w:widowControl w:val="off"/>
    </w:pPr>
    <w:rPr>
      <w:rFonts w:ascii="Arial" w:hAnsi="Arial" w:cs="Arial"/>
      <w:lang w:val="ru-RU" w:eastAsia="ru-RU" w:bidi="ar-SA"/>
    </w:rPr>
  </w:style>
  <w:style w:type="paragraph" w:styleId="722">
    <w:name w:val="ConsPlusNonformat"/>
    <w:next w:val="722"/>
    <w:link w:val="704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723">
    <w:name w:val="ConsPlusCell"/>
    <w:next w:val="723"/>
    <w:link w:val="704"/>
    <w:uiPriority w:val="99"/>
    <w:rPr>
      <w:sz w:val="28"/>
      <w:szCs w:val="28"/>
      <w:lang w:val="ru-RU" w:eastAsia="ru-RU" w:bidi="ar-SA"/>
    </w:rPr>
  </w:style>
  <w:style w:type="character" w:styleId="724">
    <w:name w:val="Гиперссылка"/>
    <w:next w:val="724"/>
    <w:link w:val="704"/>
    <w:uiPriority w:val="99"/>
    <w:unhideWhenUsed/>
    <w:rPr>
      <w:color w:val="0000ff"/>
      <w:u w:val="single"/>
    </w:rPr>
  </w:style>
  <w:style w:type="paragraph" w:styleId="725">
    <w:name w:val="Текст выноски"/>
    <w:basedOn w:val="704"/>
    <w:next w:val="725"/>
    <w:link w:val="726"/>
    <w:rPr>
      <w:rFonts w:ascii="Segoe UI" w:hAnsi="Segoe UI" w:cs="Segoe UI"/>
      <w:sz w:val="18"/>
      <w:szCs w:val="18"/>
    </w:rPr>
  </w:style>
  <w:style w:type="character" w:styleId="726">
    <w:name w:val="Текст выноски Знак"/>
    <w:next w:val="726"/>
    <w:link w:val="725"/>
    <w:rPr>
      <w:rFonts w:ascii="Segoe UI" w:hAnsi="Segoe UI" w:cs="Segoe UI"/>
      <w:sz w:val="18"/>
      <w:szCs w:val="18"/>
    </w:rPr>
  </w:style>
  <w:style w:type="paragraph" w:styleId="727">
    <w:name w:val="ConsPlusTitle"/>
    <w:next w:val="727"/>
    <w:link w:val="704"/>
    <w:rPr>
      <w:b/>
      <w:bCs/>
      <w:sz w:val="28"/>
      <w:szCs w:val="28"/>
      <w:lang w:val="ru-RU" w:eastAsia="ru-RU" w:bidi="ar-SA"/>
    </w:rPr>
  </w:style>
  <w:style w:type="paragraph" w:styleId="728">
    <w:name w:val="Text body"/>
    <w:basedOn w:val="704"/>
    <w:next w:val="728"/>
    <w:link w:val="704"/>
    <w:pPr>
      <w:spacing w:after="140" w:line="288" w:lineRule="auto"/>
    </w:pPr>
    <w:rPr>
      <w:rFonts w:ascii="Arial" w:hAnsi="Arial" w:eastAsia="Arial, sans-serif" w:cs="Arial, sans-serif"/>
      <w:sz w:val="27"/>
      <w:szCs w:val="20"/>
    </w:rPr>
  </w:style>
  <w:style w:type="character" w:styleId="817" w:default="1">
    <w:name w:val="Default Paragraph Font"/>
    <w:uiPriority w:val="1"/>
    <w:semiHidden/>
    <w:unhideWhenUsed/>
  </w:style>
  <w:style w:type="numbering" w:styleId="818" w:default="1">
    <w:name w:val="No List"/>
    <w:uiPriority w:val="99"/>
    <w:semiHidden/>
    <w:unhideWhenUsed/>
  </w:style>
  <w:style w:type="table" w:styleId="81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УФК по Тюменской области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комиссии по включению в стаж государственной службы иных периодов работы гражданским служащим Управления и отделений Управления Федерального казначейства по Тюменской области и установлению надбавок работникам, оплата труда которых осуществляется  на о</dc:title>
  <dc:creator>CSV</dc:creator>
  <cp:lastModifiedBy>Аноним</cp:lastModifiedBy>
  <cp:revision>21</cp:revision>
  <dcterms:created xsi:type="dcterms:W3CDTF">2025-12-29T06:49:00Z</dcterms:created>
  <dcterms:modified xsi:type="dcterms:W3CDTF">2025-12-29T14:07:37Z</dcterms:modified>
  <cp:version>1048576</cp:version>
</cp:coreProperties>
</file>